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4BA" w:rsidRPr="00A13D17" w:rsidRDefault="00674637" w:rsidP="000D54BA">
      <w:pPr>
        <w:spacing w:after="0"/>
        <w:jc w:val="right"/>
        <w:rPr>
          <w:rFonts w:ascii="Times New Roman" w:hAnsi="Times New Roman" w:cs="Times New Roman"/>
          <w:b/>
          <w:sz w:val="24"/>
          <w:szCs w:val="24"/>
          <w:lang w:val="sv-SE"/>
        </w:rPr>
      </w:pPr>
      <w:r>
        <w:rPr>
          <w:rFonts w:ascii="Times New Roman" w:eastAsia="Times New Roman" w:hAnsi="Times New Roman" w:cs="Times New Roman"/>
          <w:b/>
          <w:bCs/>
          <w:sz w:val="24"/>
          <w:szCs w:val="24"/>
          <w:bdr w:val="nil"/>
          <w:lang w:val="sv-SE"/>
        </w:rPr>
        <w:t>Biskopsmötets framställning 3/2016 till kyrkomötet</w:t>
      </w:r>
    </w:p>
    <w:p w:rsidR="00835263" w:rsidRDefault="00835263" w:rsidP="000D54BA">
      <w:pPr>
        <w:spacing w:after="0"/>
        <w:jc w:val="right"/>
        <w:rPr>
          <w:rFonts w:ascii="Times New Roman" w:eastAsia="Times New Roman" w:hAnsi="Times New Roman" w:cs="Times New Roman"/>
          <w:bCs/>
          <w:sz w:val="24"/>
          <w:szCs w:val="24"/>
          <w:bdr w:val="nil"/>
          <w:lang w:val="sv-SE"/>
        </w:rPr>
      </w:pPr>
    </w:p>
    <w:p w:rsidR="000D54BA" w:rsidRDefault="00674637" w:rsidP="000D54BA">
      <w:pPr>
        <w:spacing w:after="0"/>
        <w:jc w:val="right"/>
        <w:rPr>
          <w:rFonts w:ascii="Times New Roman" w:eastAsia="Times New Roman" w:hAnsi="Times New Roman" w:cs="Times New Roman"/>
          <w:bCs/>
          <w:sz w:val="24"/>
          <w:szCs w:val="24"/>
          <w:bdr w:val="nil"/>
          <w:lang w:val="sv-SE"/>
        </w:rPr>
      </w:pPr>
      <w:r w:rsidRPr="00835263">
        <w:rPr>
          <w:rFonts w:ascii="Times New Roman" w:eastAsia="Times New Roman" w:hAnsi="Times New Roman" w:cs="Times New Roman"/>
          <w:bCs/>
          <w:sz w:val="24"/>
          <w:szCs w:val="24"/>
          <w:bdr w:val="nil"/>
          <w:lang w:val="sv-SE"/>
        </w:rPr>
        <w:t>Ärendenummer D/242/</w:t>
      </w:r>
      <w:proofErr w:type="gramStart"/>
      <w:r w:rsidRPr="00835263">
        <w:rPr>
          <w:rFonts w:ascii="Times New Roman" w:eastAsia="Times New Roman" w:hAnsi="Times New Roman" w:cs="Times New Roman"/>
          <w:bCs/>
          <w:sz w:val="24"/>
          <w:szCs w:val="24"/>
          <w:bdr w:val="nil"/>
          <w:lang w:val="sv-SE"/>
        </w:rPr>
        <w:t>04.02.03</w:t>
      </w:r>
      <w:proofErr w:type="gramEnd"/>
      <w:r w:rsidRPr="00835263">
        <w:rPr>
          <w:rFonts w:ascii="Times New Roman" w:eastAsia="Times New Roman" w:hAnsi="Times New Roman" w:cs="Times New Roman"/>
          <w:bCs/>
          <w:sz w:val="24"/>
          <w:szCs w:val="24"/>
          <w:bdr w:val="nil"/>
          <w:lang w:val="sv-SE"/>
        </w:rPr>
        <w:t>/2016</w:t>
      </w:r>
    </w:p>
    <w:p w:rsidR="00835263" w:rsidRPr="00835263" w:rsidRDefault="00835263" w:rsidP="000D54BA">
      <w:pPr>
        <w:spacing w:after="0"/>
        <w:jc w:val="right"/>
        <w:rPr>
          <w:rFonts w:ascii="Times New Roman" w:hAnsi="Times New Roman" w:cs="Times New Roman"/>
          <w:sz w:val="24"/>
          <w:szCs w:val="24"/>
          <w:lang w:val="sv-SE"/>
        </w:rPr>
      </w:pPr>
      <w:r>
        <w:rPr>
          <w:rFonts w:ascii="Times New Roman" w:eastAsia="Times New Roman" w:hAnsi="Times New Roman" w:cs="Times New Roman"/>
          <w:bCs/>
          <w:sz w:val="24"/>
          <w:szCs w:val="24"/>
          <w:bdr w:val="nil"/>
          <w:lang w:val="sv-SE"/>
        </w:rPr>
        <w:t>KK2016-00036</w:t>
      </w:r>
    </w:p>
    <w:p w:rsidR="000D54BA" w:rsidRPr="00A13D17" w:rsidRDefault="003502AA" w:rsidP="000D54BA">
      <w:pPr>
        <w:spacing w:after="0"/>
        <w:jc w:val="right"/>
        <w:rPr>
          <w:rFonts w:ascii="Times New Roman" w:hAnsi="Times New Roman" w:cs="Times New Roman"/>
          <w:b/>
          <w:sz w:val="24"/>
          <w:szCs w:val="24"/>
          <w:lang w:val="sv-SE"/>
        </w:rPr>
      </w:pPr>
    </w:p>
    <w:p w:rsidR="000D54BA" w:rsidRPr="00A13D17" w:rsidRDefault="003502AA" w:rsidP="000D54BA">
      <w:pPr>
        <w:spacing w:after="0"/>
        <w:jc w:val="right"/>
        <w:rPr>
          <w:rFonts w:ascii="Times New Roman" w:hAnsi="Times New Roman" w:cs="Times New Roman"/>
          <w:b/>
          <w:sz w:val="24"/>
          <w:szCs w:val="24"/>
          <w:lang w:val="sv-SE"/>
        </w:rPr>
      </w:pPr>
    </w:p>
    <w:p w:rsidR="000D54BA" w:rsidRPr="00A13D17" w:rsidRDefault="003502AA" w:rsidP="00E94677">
      <w:pPr>
        <w:spacing w:after="0"/>
        <w:jc w:val="right"/>
        <w:rPr>
          <w:rFonts w:ascii="Times New Roman" w:hAnsi="Times New Roman" w:cs="Times New Roman"/>
          <w:b/>
          <w:sz w:val="24"/>
          <w:szCs w:val="24"/>
          <w:lang w:val="sv-SE"/>
        </w:rPr>
      </w:pPr>
    </w:p>
    <w:p w:rsidR="00E94677" w:rsidRPr="00A13D17" w:rsidRDefault="0011260F" w:rsidP="00835263">
      <w:pPr>
        <w:ind w:left="4820"/>
        <w:rPr>
          <w:rFonts w:ascii="Times New Roman" w:hAnsi="Times New Roman" w:cs="Times New Roman"/>
          <w:b/>
          <w:sz w:val="24"/>
          <w:szCs w:val="24"/>
          <w:lang w:val="sv-SE"/>
        </w:rPr>
      </w:pPr>
      <w:r w:rsidRPr="0011260F">
        <w:rPr>
          <w:rFonts w:ascii="Times New Roman" w:eastAsia="Times New Roman" w:hAnsi="Times New Roman" w:cs="Times New Roman"/>
          <w:b/>
          <w:bCs/>
          <w:sz w:val="24"/>
          <w:szCs w:val="24"/>
          <w:bdr w:val="nil"/>
          <w:lang w:val="sv-SE"/>
        </w:rPr>
        <w:t>Komplettering av kyrkoordningens 2 kapitel med en bestämmelse om predikomöjlighet för präster från andra kristna kyrkor</w:t>
      </w:r>
    </w:p>
    <w:p w:rsidR="000D54BA" w:rsidRPr="00A13D17" w:rsidRDefault="003502AA" w:rsidP="000D54BA">
      <w:pPr>
        <w:spacing w:after="0"/>
        <w:ind w:left="5216"/>
        <w:jc w:val="right"/>
        <w:rPr>
          <w:rFonts w:ascii="Times New Roman" w:hAnsi="Times New Roman" w:cs="Times New Roman"/>
          <w:b/>
          <w:sz w:val="24"/>
          <w:szCs w:val="24"/>
          <w:lang w:val="sv-SE"/>
        </w:rPr>
      </w:pPr>
    </w:p>
    <w:p w:rsidR="000D54BA" w:rsidRPr="00A13D17" w:rsidRDefault="003502AA" w:rsidP="000D54BA">
      <w:pPr>
        <w:spacing w:after="0"/>
        <w:ind w:left="5216"/>
        <w:jc w:val="right"/>
        <w:rPr>
          <w:rFonts w:ascii="Times New Roman" w:hAnsi="Times New Roman" w:cs="Times New Roman"/>
          <w:b/>
          <w:sz w:val="24"/>
          <w:szCs w:val="24"/>
          <w:lang w:val="sv-SE"/>
        </w:rPr>
      </w:pPr>
    </w:p>
    <w:p w:rsidR="000D54BA" w:rsidRPr="00A13D17" w:rsidRDefault="003502AA" w:rsidP="000D54BA">
      <w:pPr>
        <w:spacing w:after="0"/>
        <w:ind w:left="5216"/>
        <w:jc w:val="right"/>
        <w:rPr>
          <w:rFonts w:ascii="Times New Roman" w:hAnsi="Times New Roman" w:cs="Times New Roman"/>
          <w:b/>
          <w:sz w:val="24"/>
          <w:szCs w:val="24"/>
          <w:lang w:val="sv-SE"/>
        </w:rPr>
      </w:pPr>
    </w:p>
    <w:p w:rsidR="000D54BA" w:rsidRPr="00A13D17" w:rsidRDefault="003502AA" w:rsidP="000D54BA">
      <w:pPr>
        <w:spacing w:after="0"/>
        <w:ind w:left="5216"/>
        <w:jc w:val="right"/>
        <w:rPr>
          <w:rFonts w:ascii="Times New Roman" w:hAnsi="Times New Roman" w:cs="Times New Roman"/>
          <w:b/>
          <w:sz w:val="24"/>
          <w:szCs w:val="24"/>
          <w:lang w:val="sv-SE"/>
        </w:rPr>
      </w:pPr>
    </w:p>
    <w:p w:rsidR="000D54BA" w:rsidRPr="00A13D17" w:rsidRDefault="00674637" w:rsidP="000D54BA">
      <w:pPr>
        <w:spacing w:after="0"/>
        <w:jc w:val="center"/>
        <w:rPr>
          <w:rFonts w:ascii="Times New Roman" w:hAnsi="Times New Roman" w:cs="Times New Roman"/>
          <w:b/>
          <w:sz w:val="24"/>
          <w:szCs w:val="24"/>
          <w:lang w:val="sv-SE"/>
        </w:rPr>
      </w:pPr>
      <w:r>
        <w:rPr>
          <w:rFonts w:ascii="Times New Roman" w:eastAsia="Times New Roman" w:hAnsi="Times New Roman" w:cs="Times New Roman"/>
          <w:b/>
          <w:bCs/>
          <w:sz w:val="24"/>
          <w:szCs w:val="24"/>
          <w:bdr w:val="nil"/>
          <w:lang w:val="sv-SE"/>
        </w:rPr>
        <w:t>FRAMSTÄLLNINGENS HUVUDSAKLIGA INNEHÅLL</w:t>
      </w:r>
    </w:p>
    <w:p w:rsidR="000D54BA" w:rsidRPr="00A13D17" w:rsidRDefault="003502AA" w:rsidP="000D54BA">
      <w:pPr>
        <w:spacing w:after="0"/>
        <w:jc w:val="center"/>
        <w:rPr>
          <w:rFonts w:ascii="Times New Roman" w:hAnsi="Times New Roman" w:cs="Times New Roman"/>
          <w:b/>
          <w:sz w:val="24"/>
          <w:szCs w:val="24"/>
          <w:lang w:val="sv-SE"/>
        </w:rPr>
      </w:pPr>
    </w:p>
    <w:p w:rsidR="00E94677" w:rsidRPr="00A13D17" w:rsidRDefault="00674637" w:rsidP="00E94677">
      <w:p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 xml:space="preserve">I framställningen föreslås att 2 kap. 6 § 3 mom. i kyrkoordningen ändras så att kyrkoherden i enskilda fall kan kalla en präst från någon annan kristen kyrka eller ett därmed jämställt samfund att predika </w:t>
      </w:r>
      <w:r w:rsidR="0011260F">
        <w:rPr>
          <w:rFonts w:ascii="Times New Roman" w:eastAsia="Times New Roman" w:hAnsi="Times New Roman" w:cs="Times New Roman"/>
          <w:sz w:val="24"/>
          <w:szCs w:val="24"/>
          <w:bdr w:val="nil"/>
          <w:lang w:val="sv-SE"/>
        </w:rPr>
        <w:t xml:space="preserve">i </w:t>
      </w:r>
      <w:r>
        <w:rPr>
          <w:rFonts w:ascii="Times New Roman" w:eastAsia="Times New Roman" w:hAnsi="Times New Roman" w:cs="Times New Roman"/>
          <w:sz w:val="24"/>
          <w:szCs w:val="24"/>
          <w:bdr w:val="nil"/>
          <w:lang w:val="sv-SE"/>
        </w:rPr>
        <w:t xml:space="preserve">gudstjänsten. </w:t>
      </w:r>
    </w:p>
    <w:p w:rsidR="00E94677" w:rsidRPr="00A13D17" w:rsidRDefault="00674637" w:rsidP="00E94677">
      <w:p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Syftet med framställningen är att främja utvecklingen av den lokala ekumeniken och det gemensamma kristna vittnesbördet. En präst från någon annan kristen kyrka eller ett därmed jämställt samfund som kallas att predika har inga andra rättigheter eller skyldigheter i genomförandet av gudstjänsten.</w:t>
      </w:r>
    </w:p>
    <w:p w:rsidR="00E94677" w:rsidRPr="00A13D17" w:rsidRDefault="00674637" w:rsidP="00E94677">
      <w:p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Ändringen i kyrkoordningen avses träda i kraft så snart som möjligt efter att kyrkomötet har godkänt den.</w:t>
      </w:r>
    </w:p>
    <w:p w:rsidR="000D54BA" w:rsidRPr="00A13D17" w:rsidRDefault="003502AA" w:rsidP="000D54BA">
      <w:pPr>
        <w:spacing w:after="0"/>
        <w:rPr>
          <w:rFonts w:ascii="Times New Roman" w:hAnsi="Times New Roman" w:cs="Times New Roman"/>
          <w:sz w:val="24"/>
          <w:szCs w:val="24"/>
          <w:lang w:val="sv-SE"/>
        </w:rPr>
      </w:pPr>
    </w:p>
    <w:p w:rsidR="000D54BA" w:rsidRPr="00A13D17" w:rsidRDefault="00674637" w:rsidP="000D54BA">
      <w:pPr>
        <w:spacing w:after="0" w:line="240" w:lineRule="auto"/>
        <w:jc w:val="center"/>
        <w:rPr>
          <w:rFonts w:ascii="Times New Roman" w:eastAsia="Times New Roman" w:hAnsi="Times New Roman" w:cs="Times New Roman"/>
          <w:sz w:val="24"/>
          <w:szCs w:val="24"/>
          <w:lang w:val="sv-SE" w:eastAsia="fi-FI"/>
        </w:rPr>
      </w:pPr>
      <w:r w:rsidRPr="00A13D17">
        <w:rPr>
          <w:rFonts w:ascii="Times New Roman" w:eastAsia="Times New Roman" w:hAnsi="Times New Roman" w:cs="Times New Roman"/>
          <w:sz w:val="24"/>
          <w:szCs w:val="24"/>
          <w:lang w:val="sv-SE" w:eastAsia="fi-FI"/>
        </w:rPr>
        <w:t>_________</w:t>
      </w:r>
    </w:p>
    <w:p w:rsidR="000D54BA" w:rsidRPr="00A13D17" w:rsidRDefault="003502AA" w:rsidP="000D54BA">
      <w:pPr>
        <w:spacing w:after="0"/>
        <w:rPr>
          <w:rFonts w:ascii="Times New Roman" w:hAnsi="Times New Roman" w:cs="Times New Roman"/>
          <w:sz w:val="24"/>
          <w:szCs w:val="24"/>
          <w:lang w:val="sv-SE"/>
        </w:rPr>
      </w:pPr>
    </w:p>
    <w:p w:rsidR="000D54BA" w:rsidRPr="00A13D17" w:rsidRDefault="00674637" w:rsidP="000D54BA">
      <w:pPr>
        <w:rPr>
          <w:rFonts w:ascii="Times New Roman" w:hAnsi="Times New Roman" w:cs="Times New Roman"/>
          <w:b/>
          <w:sz w:val="24"/>
          <w:szCs w:val="24"/>
          <w:lang w:val="sv-SE"/>
        </w:rPr>
      </w:pPr>
      <w:r>
        <w:rPr>
          <w:rFonts w:ascii="Times New Roman" w:eastAsia="Times New Roman" w:hAnsi="Times New Roman" w:cs="Times New Roman"/>
          <w:sz w:val="24"/>
          <w:szCs w:val="24"/>
          <w:bdr w:val="nil"/>
          <w:lang w:val="sv-SE"/>
        </w:rPr>
        <w:br w:type="page"/>
      </w:r>
      <w:r>
        <w:rPr>
          <w:rFonts w:ascii="Times New Roman" w:eastAsia="Times New Roman" w:hAnsi="Times New Roman" w:cs="Times New Roman"/>
          <w:b/>
          <w:bCs/>
          <w:sz w:val="24"/>
          <w:szCs w:val="24"/>
          <w:bdr w:val="nil"/>
          <w:lang w:val="sv-SE"/>
        </w:rPr>
        <w:lastRenderedPageBreak/>
        <w:t>ALLMÄN MOTIVERING</w:t>
      </w:r>
    </w:p>
    <w:p w:rsidR="00E94677" w:rsidRPr="00A13D17" w:rsidRDefault="00674637" w:rsidP="00E94677">
      <w:pPr>
        <w:rPr>
          <w:rFonts w:ascii="Times New Roman" w:hAnsi="Times New Roman" w:cs="Times New Roman"/>
          <w:b/>
          <w:sz w:val="24"/>
          <w:szCs w:val="24"/>
          <w:lang w:val="sv-SE"/>
        </w:rPr>
      </w:pPr>
      <w:r>
        <w:rPr>
          <w:rFonts w:ascii="Times New Roman" w:eastAsia="Times New Roman" w:hAnsi="Times New Roman" w:cs="Times New Roman"/>
          <w:b/>
          <w:bCs/>
          <w:sz w:val="24"/>
          <w:szCs w:val="24"/>
          <w:bdr w:val="nil"/>
          <w:lang w:val="sv-SE"/>
        </w:rPr>
        <w:t>1. Bakgrund</w:t>
      </w:r>
    </w:p>
    <w:p w:rsidR="00E94677" w:rsidRPr="00A13D17" w:rsidRDefault="00674637" w:rsidP="00E94677">
      <w:p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 xml:space="preserve">Ekumeniken mellan kyrkorna har utvecklats kraftigt under de senaste decennierna. Utöver det riksomfattande samarbete som sker genom Ekumeniska rådet i Finland och de lärosamtal som samordnas av kyrkans utrikesavdelning förekommer det också ekumeniskt samarbete och ekumeniska möten i de lokala församlingarna. Till exempel </w:t>
      </w:r>
      <w:r w:rsidR="0011260F">
        <w:rPr>
          <w:rFonts w:ascii="Times New Roman" w:eastAsia="Times New Roman" w:hAnsi="Times New Roman" w:cs="Times New Roman"/>
          <w:sz w:val="24"/>
          <w:szCs w:val="24"/>
          <w:bdr w:val="nil"/>
          <w:lang w:val="sv-SE"/>
        </w:rPr>
        <w:t xml:space="preserve">har </w:t>
      </w:r>
      <w:r>
        <w:rPr>
          <w:rFonts w:ascii="Times New Roman" w:eastAsia="Times New Roman" w:hAnsi="Times New Roman" w:cs="Times New Roman"/>
          <w:sz w:val="24"/>
          <w:szCs w:val="24"/>
          <w:bdr w:val="nil"/>
          <w:lang w:val="sv-SE"/>
        </w:rPr>
        <w:t xml:space="preserve">den ekumeniska böneveckan för kristen enhet (den 18–25 januari) firats regelbundet i vårt land redan i fem decennier. Under veckan anordnas gemensamma ekumeniska </w:t>
      </w:r>
      <w:r w:rsidR="0011260F">
        <w:rPr>
          <w:rFonts w:ascii="Times New Roman" w:eastAsia="Times New Roman" w:hAnsi="Times New Roman" w:cs="Times New Roman"/>
          <w:sz w:val="24"/>
          <w:szCs w:val="24"/>
          <w:bdr w:val="nil"/>
          <w:lang w:val="sv-SE"/>
        </w:rPr>
        <w:t xml:space="preserve">samlingar </w:t>
      </w:r>
      <w:r>
        <w:rPr>
          <w:rFonts w:ascii="Times New Roman" w:eastAsia="Times New Roman" w:hAnsi="Times New Roman" w:cs="Times New Roman"/>
          <w:sz w:val="24"/>
          <w:szCs w:val="24"/>
          <w:bdr w:val="nil"/>
          <w:lang w:val="sv-SE"/>
        </w:rPr>
        <w:t xml:space="preserve">såsom gudstjänster, </w:t>
      </w:r>
      <w:proofErr w:type="spellStart"/>
      <w:r>
        <w:rPr>
          <w:rFonts w:ascii="Times New Roman" w:eastAsia="Times New Roman" w:hAnsi="Times New Roman" w:cs="Times New Roman"/>
          <w:sz w:val="24"/>
          <w:szCs w:val="24"/>
          <w:bdr w:val="nil"/>
          <w:lang w:val="sv-SE"/>
        </w:rPr>
        <w:t>kyrkvandringar</w:t>
      </w:r>
      <w:proofErr w:type="spellEnd"/>
      <w:r>
        <w:rPr>
          <w:rFonts w:ascii="Times New Roman" w:eastAsia="Times New Roman" w:hAnsi="Times New Roman" w:cs="Times New Roman"/>
          <w:sz w:val="24"/>
          <w:szCs w:val="24"/>
          <w:bdr w:val="nil"/>
          <w:lang w:val="sv-SE"/>
        </w:rPr>
        <w:t xml:space="preserve"> och konserter. </w:t>
      </w:r>
    </w:p>
    <w:p w:rsidR="00E94677" w:rsidRPr="00A13D17" w:rsidRDefault="00674637" w:rsidP="00E94677">
      <w:p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 xml:space="preserve">Att kalla präster från andra kyrkor att predika </w:t>
      </w:r>
      <w:r w:rsidR="0011260F">
        <w:rPr>
          <w:rFonts w:ascii="Times New Roman" w:eastAsia="Times New Roman" w:hAnsi="Times New Roman" w:cs="Times New Roman"/>
          <w:sz w:val="24"/>
          <w:szCs w:val="24"/>
          <w:bdr w:val="nil"/>
          <w:lang w:val="sv-SE"/>
        </w:rPr>
        <w:t xml:space="preserve">i </w:t>
      </w:r>
      <w:r>
        <w:rPr>
          <w:rFonts w:ascii="Times New Roman" w:eastAsia="Times New Roman" w:hAnsi="Times New Roman" w:cs="Times New Roman"/>
          <w:sz w:val="24"/>
          <w:szCs w:val="24"/>
          <w:bdr w:val="nil"/>
          <w:lang w:val="sv-SE"/>
        </w:rPr>
        <w:t xml:space="preserve">gudstjänsten vore ett synnerligen värdigt och högaktningsfullt sätt att stärka ekumeniken. Detta är dock enligt den gällande kyrkoordningen inte möjligt för andra präster än de som hör till en kyrka med vilken </w:t>
      </w:r>
      <w:r w:rsidR="0011260F">
        <w:rPr>
          <w:rFonts w:ascii="Times New Roman" w:eastAsia="Times New Roman" w:hAnsi="Times New Roman" w:cs="Times New Roman"/>
          <w:sz w:val="24"/>
          <w:szCs w:val="24"/>
          <w:bdr w:val="nil"/>
          <w:lang w:val="sv-SE"/>
        </w:rPr>
        <w:t>vår kyrk</w:t>
      </w:r>
      <w:r w:rsidR="00A13D17">
        <w:rPr>
          <w:rFonts w:ascii="Times New Roman" w:eastAsia="Times New Roman" w:hAnsi="Times New Roman" w:cs="Times New Roman"/>
          <w:sz w:val="24"/>
          <w:szCs w:val="24"/>
          <w:bdr w:val="nil"/>
          <w:lang w:val="sv-SE"/>
        </w:rPr>
        <w:t>a</w:t>
      </w:r>
      <w:r w:rsidR="0011260F">
        <w:rPr>
          <w:rFonts w:ascii="Times New Roman" w:eastAsia="Times New Roman" w:hAnsi="Times New Roman" w:cs="Times New Roman"/>
          <w:sz w:val="24"/>
          <w:szCs w:val="24"/>
          <w:bdr w:val="nil"/>
          <w:lang w:val="sv-SE"/>
        </w:rPr>
        <w:t xml:space="preserve"> har ingått </w:t>
      </w:r>
      <w:r>
        <w:rPr>
          <w:rFonts w:ascii="Times New Roman" w:eastAsia="Times New Roman" w:hAnsi="Times New Roman" w:cs="Times New Roman"/>
          <w:sz w:val="24"/>
          <w:szCs w:val="24"/>
          <w:bdr w:val="nil"/>
          <w:lang w:val="sv-SE"/>
        </w:rPr>
        <w:t xml:space="preserve">ett avtal om altar- och predikstolsgemenskap som godkänts av kyrkomötet. </w:t>
      </w:r>
    </w:p>
    <w:p w:rsidR="00E94677" w:rsidRPr="00A13D17" w:rsidRDefault="00674637" w:rsidP="00E94677">
      <w:pPr>
        <w:jc w:val="both"/>
        <w:rPr>
          <w:rFonts w:ascii="Times New Roman" w:hAnsi="Times New Roman" w:cs="Times New Roman"/>
          <w:b/>
          <w:sz w:val="24"/>
          <w:szCs w:val="24"/>
          <w:lang w:val="sv-SE"/>
        </w:rPr>
      </w:pPr>
      <w:r>
        <w:rPr>
          <w:rFonts w:ascii="Times New Roman" w:eastAsia="Times New Roman" w:hAnsi="Times New Roman" w:cs="Times New Roman"/>
          <w:b/>
          <w:bCs/>
          <w:sz w:val="24"/>
          <w:szCs w:val="24"/>
          <w:bdr w:val="nil"/>
          <w:lang w:val="sv-SE"/>
        </w:rPr>
        <w:t>2. Nuläge</w:t>
      </w:r>
    </w:p>
    <w:p w:rsidR="00E94677" w:rsidRPr="00A13D17" w:rsidRDefault="00674637" w:rsidP="00E94677">
      <w:pPr>
        <w:jc w:val="both"/>
        <w:rPr>
          <w:rFonts w:ascii="Times New Roman" w:hAnsi="Times New Roman" w:cs="Times New Roman"/>
          <w:b/>
          <w:sz w:val="24"/>
          <w:szCs w:val="24"/>
          <w:lang w:val="sv-SE"/>
        </w:rPr>
      </w:pPr>
      <w:r>
        <w:rPr>
          <w:rFonts w:ascii="Times New Roman" w:eastAsia="Times New Roman" w:hAnsi="Times New Roman" w:cs="Times New Roman"/>
          <w:b/>
          <w:bCs/>
          <w:sz w:val="24"/>
          <w:szCs w:val="24"/>
          <w:bdr w:val="nil"/>
          <w:lang w:val="sv-SE"/>
        </w:rPr>
        <w:t>2.1. Lagstiftning och praxis</w:t>
      </w:r>
    </w:p>
    <w:p w:rsidR="00E94677" w:rsidRPr="00A13D17" w:rsidRDefault="00674637" w:rsidP="00E94677">
      <w:p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 xml:space="preserve">Enligt 5 kap. 1 § 1 mom. i kyrkoordningen hör det till en prästs särskilda uppgifter att förrätta gudstjänsten och därmed att predika. I 2 kap. 6 § i kyrkoordningen konstateras att en lektor med kyrkoherdens samtycke kan predika vid gudstjänsten, och att kyrkoherden i enskilda fall kan kalla </w:t>
      </w:r>
      <w:r w:rsidR="0011260F">
        <w:rPr>
          <w:rFonts w:ascii="Times New Roman" w:eastAsia="Times New Roman" w:hAnsi="Times New Roman" w:cs="Times New Roman"/>
          <w:sz w:val="24"/>
          <w:szCs w:val="24"/>
          <w:bdr w:val="nil"/>
          <w:lang w:val="sv-SE"/>
        </w:rPr>
        <w:t>”</w:t>
      </w:r>
      <w:r>
        <w:rPr>
          <w:rFonts w:ascii="Times New Roman" w:eastAsia="Times New Roman" w:hAnsi="Times New Roman" w:cs="Times New Roman"/>
          <w:sz w:val="24"/>
          <w:szCs w:val="24"/>
          <w:bdr w:val="nil"/>
          <w:lang w:val="sv-SE"/>
        </w:rPr>
        <w:t>en sådan medlem av evangelisk-lutherska kyrkan som är konfirmerad och känd för sin kristna övertygelse</w:t>
      </w:r>
      <w:r w:rsidR="0011260F">
        <w:rPr>
          <w:rFonts w:ascii="Times New Roman" w:eastAsia="Times New Roman" w:hAnsi="Times New Roman" w:cs="Times New Roman"/>
          <w:sz w:val="24"/>
          <w:szCs w:val="24"/>
          <w:bdr w:val="nil"/>
          <w:lang w:val="sv-SE"/>
        </w:rPr>
        <w:t>”</w:t>
      </w:r>
      <w:r>
        <w:rPr>
          <w:rFonts w:ascii="Times New Roman" w:eastAsia="Times New Roman" w:hAnsi="Times New Roman" w:cs="Times New Roman"/>
          <w:sz w:val="24"/>
          <w:szCs w:val="24"/>
          <w:bdr w:val="nil"/>
          <w:lang w:val="sv-SE"/>
        </w:rPr>
        <w:t xml:space="preserve"> att predika vid gudstjänsten.</w:t>
      </w:r>
    </w:p>
    <w:p w:rsidR="00E94677" w:rsidRPr="00A13D17" w:rsidRDefault="00674637" w:rsidP="00E94677">
      <w:p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 xml:space="preserve">Enligt 2 kap. 27 § i kyrkoordningen bestämmer biskopsmötet </w:t>
      </w:r>
      <w:r w:rsidR="0011260F">
        <w:rPr>
          <w:rFonts w:ascii="Times New Roman" w:eastAsia="Times New Roman" w:hAnsi="Times New Roman" w:cs="Times New Roman"/>
          <w:sz w:val="24"/>
          <w:szCs w:val="24"/>
          <w:bdr w:val="nil"/>
          <w:lang w:val="sv-SE"/>
        </w:rPr>
        <w:t>”</w:t>
      </w:r>
      <w:r>
        <w:rPr>
          <w:rFonts w:ascii="Times New Roman" w:eastAsia="Times New Roman" w:hAnsi="Times New Roman" w:cs="Times New Roman"/>
          <w:sz w:val="24"/>
          <w:szCs w:val="24"/>
          <w:bdr w:val="nil"/>
          <w:lang w:val="sv-SE"/>
        </w:rPr>
        <w:t>under vilka förutsättningar en präst från någon annan evangelisk-luthersk kyrka eller ett annat kristet trossamfund eller kristet samfund i enskilda fall kan utföra kyrkliga förrättningar</w:t>
      </w:r>
      <w:r w:rsidR="0011260F">
        <w:rPr>
          <w:rFonts w:ascii="Times New Roman" w:eastAsia="Times New Roman" w:hAnsi="Times New Roman" w:cs="Times New Roman"/>
          <w:sz w:val="24"/>
          <w:szCs w:val="24"/>
          <w:bdr w:val="nil"/>
          <w:lang w:val="sv-SE"/>
        </w:rPr>
        <w:t>”</w:t>
      </w:r>
      <w:r>
        <w:rPr>
          <w:rFonts w:ascii="Times New Roman" w:eastAsia="Times New Roman" w:hAnsi="Times New Roman" w:cs="Times New Roman"/>
          <w:sz w:val="24"/>
          <w:szCs w:val="24"/>
          <w:bdr w:val="nil"/>
          <w:lang w:val="sv-SE"/>
        </w:rPr>
        <w:t xml:space="preserve">. Härmed avses gudstjänster samt följande kyrkliga förrättningar som anges i </w:t>
      </w:r>
      <w:r w:rsidR="00846089">
        <w:rPr>
          <w:rFonts w:ascii="Times New Roman" w:eastAsia="Times New Roman" w:hAnsi="Times New Roman" w:cs="Times New Roman"/>
          <w:sz w:val="24"/>
          <w:szCs w:val="24"/>
          <w:bdr w:val="nil"/>
          <w:lang w:val="sv-SE"/>
        </w:rPr>
        <w:t>hand</w:t>
      </w:r>
      <w:r>
        <w:rPr>
          <w:rFonts w:ascii="Times New Roman" w:eastAsia="Times New Roman" w:hAnsi="Times New Roman" w:cs="Times New Roman"/>
          <w:sz w:val="24"/>
          <w:szCs w:val="24"/>
          <w:bdr w:val="nil"/>
          <w:lang w:val="sv-SE"/>
        </w:rPr>
        <w:t xml:space="preserve">boken </w:t>
      </w:r>
      <w:r w:rsidR="00846089">
        <w:rPr>
          <w:rFonts w:ascii="Times New Roman" w:eastAsia="Times New Roman" w:hAnsi="Times New Roman" w:cs="Times New Roman"/>
          <w:sz w:val="24"/>
          <w:szCs w:val="24"/>
          <w:bdr w:val="nil"/>
          <w:lang w:val="sv-SE"/>
        </w:rPr>
        <w:t xml:space="preserve">för </w:t>
      </w:r>
      <w:r>
        <w:rPr>
          <w:rFonts w:ascii="Times New Roman" w:eastAsia="Times New Roman" w:hAnsi="Times New Roman" w:cs="Times New Roman"/>
          <w:sz w:val="24"/>
          <w:szCs w:val="24"/>
          <w:bdr w:val="nil"/>
          <w:lang w:val="sv-SE"/>
        </w:rPr>
        <w:t>kyrkliga förrättningar: dop, konfirmation, enskild bikt, sjukbesök, välsignelse av äktenskap, sorgeandakt, andakt vid gravläggning och välsignelse av hem. I</w:t>
      </w:r>
      <w:r w:rsidR="00846089">
        <w:rPr>
          <w:rFonts w:ascii="Times New Roman" w:eastAsia="Times New Roman" w:hAnsi="Times New Roman" w:cs="Times New Roman"/>
          <w:sz w:val="24"/>
          <w:szCs w:val="24"/>
          <w:bdr w:val="nil"/>
          <w:lang w:val="sv-SE"/>
        </w:rPr>
        <w:t> </w:t>
      </w:r>
      <w:r w:rsidR="00A13D17">
        <w:rPr>
          <w:rFonts w:ascii="Times New Roman" w:eastAsia="Times New Roman" w:hAnsi="Times New Roman" w:cs="Times New Roman"/>
          <w:sz w:val="24"/>
          <w:szCs w:val="24"/>
          <w:bdr w:val="nil"/>
          <w:lang w:val="sv-SE"/>
        </w:rPr>
        <w:t>2 </w:t>
      </w:r>
      <w:r>
        <w:rPr>
          <w:rFonts w:ascii="Times New Roman" w:eastAsia="Times New Roman" w:hAnsi="Times New Roman" w:cs="Times New Roman"/>
          <w:sz w:val="24"/>
          <w:szCs w:val="24"/>
          <w:bdr w:val="nil"/>
          <w:lang w:val="sv-SE"/>
        </w:rPr>
        <w:t>kap. 22 § 2 mom. i kyrkoordningen konstateras att en präst från någon annan kristen kyrka eller ett därmed jämställt samfund i undantagsfall kan förrätta jordfästningen av en medlem av kyrkan, om detta grundar sig på den avlidnas klart uttalade vilja och en överenskommelse med församlingens kyrkoherde. Vigslar hör inte till denna bestämmanderätt, eftersom vigseln är en rättshandling som regleras i äktenskapslagen.</w:t>
      </w:r>
    </w:p>
    <w:p w:rsidR="00E94677" w:rsidRPr="00A13D17" w:rsidRDefault="00674637" w:rsidP="00E94677">
      <w:pPr>
        <w:jc w:val="both"/>
        <w:rPr>
          <w:rFonts w:ascii="Times New Roman" w:hAnsi="Times New Roman" w:cs="Times New Roman"/>
          <w:sz w:val="24"/>
          <w:szCs w:val="24"/>
          <w:lang w:val="sv-SE"/>
        </w:rPr>
      </w:pPr>
      <w:r w:rsidRPr="00043EB2">
        <w:rPr>
          <w:rFonts w:ascii="Times New Roman" w:eastAsia="Times New Roman" w:hAnsi="Times New Roman" w:cs="Times New Roman"/>
          <w:i/>
          <w:sz w:val="24"/>
          <w:szCs w:val="24"/>
          <w:bdr w:val="nil"/>
          <w:lang w:val="sv-SE"/>
        </w:rPr>
        <w:t>Biskopsmötet beslut</w:t>
      </w:r>
      <w:r w:rsidRPr="00043EB2">
        <w:rPr>
          <w:rFonts w:ascii="Times New Roman" w:eastAsia="Times New Roman" w:hAnsi="Times New Roman" w:cs="Times New Roman"/>
          <w:i/>
          <w:iCs/>
          <w:sz w:val="24"/>
          <w:szCs w:val="24"/>
          <w:bdr w:val="nil"/>
          <w:lang w:val="sv-SE"/>
        </w:rPr>
        <w:t xml:space="preserve"> </w:t>
      </w:r>
      <w:r w:rsidRPr="00043EB2">
        <w:rPr>
          <w:rFonts w:ascii="Times New Roman" w:eastAsia="Times New Roman" w:hAnsi="Times New Roman" w:cs="Times New Roman"/>
          <w:iCs/>
          <w:sz w:val="24"/>
          <w:szCs w:val="24"/>
          <w:bdr w:val="nil"/>
          <w:lang w:val="sv-SE"/>
        </w:rPr>
        <w:t>från september 2002 om</w:t>
      </w:r>
      <w:r>
        <w:rPr>
          <w:rFonts w:ascii="Times New Roman" w:eastAsia="Times New Roman" w:hAnsi="Times New Roman" w:cs="Times New Roman"/>
          <w:i/>
          <w:iCs/>
          <w:sz w:val="24"/>
          <w:szCs w:val="24"/>
          <w:bdr w:val="nil"/>
          <w:lang w:val="sv-SE"/>
        </w:rPr>
        <w:t xml:space="preserve"> under vilka förutsättningar en präst i en annan evangelisk-luthersk kyrka eller ett annat kristet trossamfund eller samfund kan utföra kyrkliga förrättningar </w:t>
      </w:r>
      <w:r>
        <w:rPr>
          <w:rFonts w:ascii="Times New Roman" w:eastAsia="Times New Roman" w:hAnsi="Times New Roman" w:cs="Times New Roman"/>
          <w:sz w:val="24"/>
          <w:szCs w:val="24"/>
          <w:bdr w:val="nil"/>
          <w:lang w:val="sv-SE"/>
        </w:rPr>
        <w:t xml:space="preserve">(KF 86; KF 111) ger präster i sådana kyrkor med vilka vår kyrka har ett avtal om nattvardsgemenskap (t.ex. medlemskyrkor i Lutherska världsförbundet, medlemskyrkor i </w:t>
      </w:r>
      <w:proofErr w:type="spellStart"/>
      <w:r>
        <w:rPr>
          <w:rFonts w:ascii="Times New Roman" w:eastAsia="Times New Roman" w:hAnsi="Times New Roman" w:cs="Times New Roman"/>
          <w:sz w:val="24"/>
          <w:szCs w:val="24"/>
          <w:bdr w:val="nil"/>
          <w:lang w:val="sv-SE"/>
        </w:rPr>
        <w:t>Evan</w:t>
      </w:r>
      <w:r w:rsidR="00043EB2">
        <w:rPr>
          <w:rFonts w:ascii="Times New Roman" w:eastAsia="Times New Roman" w:hAnsi="Times New Roman" w:cs="Times New Roman"/>
          <w:sz w:val="24"/>
          <w:szCs w:val="24"/>
          <w:bdr w:val="nil"/>
          <w:lang w:val="sv-SE"/>
        </w:rPr>
        <w:t>gelische</w:t>
      </w:r>
      <w:proofErr w:type="spellEnd"/>
      <w:r w:rsidR="00043EB2">
        <w:rPr>
          <w:rFonts w:ascii="Times New Roman" w:eastAsia="Times New Roman" w:hAnsi="Times New Roman" w:cs="Times New Roman"/>
          <w:sz w:val="24"/>
          <w:szCs w:val="24"/>
          <w:bdr w:val="nil"/>
          <w:lang w:val="sv-SE"/>
        </w:rPr>
        <w:t xml:space="preserve"> </w:t>
      </w:r>
      <w:proofErr w:type="spellStart"/>
      <w:r w:rsidR="00043EB2">
        <w:rPr>
          <w:rFonts w:ascii="Times New Roman" w:eastAsia="Times New Roman" w:hAnsi="Times New Roman" w:cs="Times New Roman"/>
          <w:sz w:val="24"/>
          <w:szCs w:val="24"/>
          <w:bdr w:val="nil"/>
          <w:lang w:val="sv-SE"/>
        </w:rPr>
        <w:t>Kirche</w:t>
      </w:r>
      <w:proofErr w:type="spellEnd"/>
      <w:r w:rsidR="00043EB2">
        <w:rPr>
          <w:rFonts w:ascii="Times New Roman" w:eastAsia="Times New Roman" w:hAnsi="Times New Roman" w:cs="Times New Roman"/>
          <w:sz w:val="24"/>
          <w:szCs w:val="24"/>
          <w:bdr w:val="nil"/>
          <w:lang w:val="sv-SE"/>
        </w:rPr>
        <w:t xml:space="preserve"> in Deutschland </w:t>
      </w:r>
      <w:r>
        <w:rPr>
          <w:rFonts w:ascii="Times New Roman" w:eastAsia="Times New Roman" w:hAnsi="Times New Roman" w:cs="Times New Roman"/>
          <w:sz w:val="24"/>
          <w:szCs w:val="24"/>
          <w:bdr w:val="nil"/>
          <w:lang w:val="sv-SE"/>
        </w:rPr>
        <w:t>EKD, medlemskyrkor i Borgågemenskapen) rätt att i enskilda fall förrätta ovan nämnda kyrkliga förrättningar och gudstjänster och därmed tillstånd att predika. Biskopen ges möjlighet att avgöra frågan när det gäller andra evangelisk-lutherska kyrkors präster.</w:t>
      </w:r>
    </w:p>
    <w:p w:rsidR="00E94677" w:rsidRPr="00A13D17" w:rsidRDefault="00674637" w:rsidP="00E94677">
      <w:p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Med stöd av den gällande kyrkolagstiftningen gäller så gott som exakt samma gräns för predikan vid gudstjänst som i fråga om nattvardsgemenskape</w:t>
      </w:r>
      <w:r w:rsidR="00043EB2">
        <w:rPr>
          <w:rFonts w:ascii="Times New Roman" w:eastAsia="Times New Roman" w:hAnsi="Times New Roman" w:cs="Times New Roman"/>
          <w:sz w:val="24"/>
          <w:szCs w:val="24"/>
          <w:bdr w:val="nil"/>
          <w:lang w:val="sv-SE"/>
        </w:rPr>
        <w:t>n mellan olika kyrkor. Präster</w:t>
      </w:r>
      <w:r>
        <w:rPr>
          <w:rFonts w:ascii="Times New Roman" w:eastAsia="Times New Roman" w:hAnsi="Times New Roman" w:cs="Times New Roman"/>
          <w:sz w:val="24"/>
          <w:szCs w:val="24"/>
          <w:bdr w:val="nil"/>
          <w:lang w:val="sv-SE"/>
        </w:rPr>
        <w:t xml:space="preserve"> i de flesta kristna kyrkorna kan inte predika i vår kyrkas gudstjänst</w:t>
      </w:r>
      <w:r w:rsidR="00043EB2">
        <w:rPr>
          <w:rFonts w:ascii="Times New Roman" w:eastAsia="Times New Roman" w:hAnsi="Times New Roman" w:cs="Times New Roman"/>
          <w:sz w:val="24"/>
          <w:szCs w:val="24"/>
          <w:bdr w:val="nil"/>
          <w:lang w:val="sv-SE"/>
        </w:rPr>
        <w:t>er</w:t>
      </w:r>
      <w:r>
        <w:rPr>
          <w:rFonts w:ascii="Times New Roman" w:eastAsia="Times New Roman" w:hAnsi="Times New Roman" w:cs="Times New Roman"/>
          <w:sz w:val="24"/>
          <w:szCs w:val="24"/>
          <w:bdr w:val="nil"/>
          <w:lang w:val="sv-SE"/>
        </w:rPr>
        <w:t xml:space="preserve">: detta gäller såväl pingstvänspastorer och andra frikyrkliga pastorer som präster i de gamla kyrkorna, såsom den katolska kyrkan och de ortodoxa kyrkorna. </w:t>
      </w:r>
    </w:p>
    <w:p w:rsidR="00E94677" w:rsidRPr="00A13D17" w:rsidRDefault="00674637" w:rsidP="00E94677">
      <w:p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lastRenderedPageBreak/>
        <w:t xml:space="preserve">I </w:t>
      </w:r>
      <w:r>
        <w:rPr>
          <w:rFonts w:ascii="Times New Roman" w:eastAsia="Times New Roman" w:hAnsi="Times New Roman" w:cs="Times New Roman"/>
          <w:i/>
          <w:iCs/>
          <w:sz w:val="24"/>
          <w:szCs w:val="24"/>
          <w:bdr w:val="nil"/>
          <w:lang w:val="sv-SE"/>
        </w:rPr>
        <w:t>Tjäna Herren med glädje: Handledning för högmässan</w:t>
      </w:r>
      <w:r>
        <w:rPr>
          <w:rFonts w:ascii="Times New Roman" w:eastAsia="Times New Roman" w:hAnsi="Times New Roman" w:cs="Times New Roman"/>
          <w:sz w:val="24"/>
          <w:szCs w:val="24"/>
          <w:bdr w:val="nil"/>
          <w:lang w:val="sv-SE"/>
        </w:rPr>
        <w:t xml:space="preserve">, som godkändes av biskopsmötet 9.9.2009 konstateras följande angående nuläget (s. 126: </w:t>
      </w:r>
      <w:r w:rsidR="0011260F">
        <w:rPr>
          <w:rFonts w:ascii="Times New Roman" w:eastAsia="Times New Roman" w:hAnsi="Times New Roman" w:cs="Times New Roman"/>
          <w:sz w:val="24"/>
          <w:szCs w:val="24"/>
          <w:bdr w:val="nil"/>
          <w:lang w:val="sv-SE"/>
        </w:rPr>
        <w:t>”</w:t>
      </w:r>
      <w:r>
        <w:rPr>
          <w:rFonts w:ascii="Times New Roman" w:eastAsia="Times New Roman" w:hAnsi="Times New Roman" w:cs="Times New Roman"/>
          <w:sz w:val="24"/>
          <w:szCs w:val="24"/>
          <w:bdr w:val="nil"/>
          <w:lang w:val="sv-SE"/>
        </w:rPr>
        <w:t>Som allmän princip gäller att man kan kalla en präst i en annan kyrka att predika och förrätta nattvard, om kyrkomötet har ingått ett avtal med den kyrkan om ömsesidigt godkännande av varandras prästämbete (KO 5:8). Om dessa förutsättningar inte uppfylls rekommenderas att man kallar herdarna eller de troende i en annan kyrka att läsa Guds ord eller framföra en hälsning till församlingen på lämplig plats i gudstjänsten.</w:t>
      </w:r>
      <w:r w:rsidR="0011260F">
        <w:rPr>
          <w:rFonts w:ascii="Times New Roman" w:eastAsia="Times New Roman" w:hAnsi="Times New Roman" w:cs="Times New Roman"/>
          <w:sz w:val="24"/>
          <w:szCs w:val="24"/>
          <w:bdr w:val="nil"/>
          <w:lang w:val="sv-SE"/>
        </w:rPr>
        <w:t>”</w:t>
      </w:r>
      <w:r>
        <w:rPr>
          <w:rFonts w:ascii="Times New Roman" w:eastAsia="Times New Roman" w:hAnsi="Times New Roman" w:cs="Times New Roman"/>
          <w:sz w:val="24"/>
          <w:szCs w:val="24"/>
          <w:bdr w:val="nil"/>
          <w:lang w:val="sv-SE"/>
        </w:rPr>
        <w:t xml:space="preserve"> </w:t>
      </w:r>
    </w:p>
    <w:p w:rsidR="00E94677" w:rsidRPr="00A13D17" w:rsidRDefault="00674637" w:rsidP="00E94677">
      <w:pPr>
        <w:jc w:val="both"/>
        <w:rPr>
          <w:rFonts w:ascii="Times New Roman" w:hAnsi="Times New Roman" w:cs="Times New Roman"/>
          <w:b/>
          <w:sz w:val="24"/>
          <w:szCs w:val="24"/>
          <w:lang w:val="sv-SE"/>
        </w:rPr>
      </w:pPr>
      <w:r>
        <w:rPr>
          <w:rFonts w:ascii="Times New Roman" w:eastAsia="Times New Roman" w:hAnsi="Times New Roman" w:cs="Times New Roman"/>
          <w:sz w:val="24"/>
          <w:szCs w:val="24"/>
          <w:bdr w:val="nil"/>
          <w:lang w:val="sv-SE"/>
        </w:rPr>
        <w:t xml:space="preserve">Det finns inga pålitliga uppgifter om i vilken mån präster från andra kyrkor predikar vid gudstjänsterna i strid med kyrkoordningen. Några enskilda fall har kommit till känna. </w:t>
      </w:r>
      <w:r w:rsidR="00043EB2" w:rsidRPr="00043EB2">
        <w:rPr>
          <w:rFonts w:ascii="Times New Roman" w:eastAsia="Times New Roman" w:hAnsi="Times New Roman" w:cs="Times New Roman"/>
          <w:sz w:val="24"/>
          <w:szCs w:val="24"/>
          <w:bdr w:val="nil"/>
          <w:lang w:val="sv-SE"/>
        </w:rPr>
        <w:t>Generellt verkar det dock snarare vara så att ekumeniska besök i gudstjänster förekommer endast i obetydlig skala.</w:t>
      </w:r>
      <w:r>
        <w:rPr>
          <w:rFonts w:ascii="Times New Roman" w:eastAsia="Times New Roman" w:hAnsi="Times New Roman" w:cs="Times New Roman"/>
          <w:sz w:val="24"/>
          <w:szCs w:val="24"/>
          <w:bdr w:val="nil"/>
          <w:lang w:val="sv-SE"/>
        </w:rPr>
        <w:t xml:space="preserve"> En orsak till detta torde vara att kyrkoordningen inte ger präster från en annan kyrka möjlighet att predika </w:t>
      </w:r>
      <w:r w:rsidR="00043EB2">
        <w:rPr>
          <w:rFonts w:ascii="Times New Roman" w:eastAsia="Times New Roman" w:hAnsi="Times New Roman" w:cs="Times New Roman"/>
          <w:sz w:val="24"/>
          <w:szCs w:val="24"/>
          <w:bdr w:val="nil"/>
          <w:lang w:val="sv-SE"/>
        </w:rPr>
        <w:t xml:space="preserve">i </w:t>
      </w:r>
      <w:r>
        <w:rPr>
          <w:rFonts w:ascii="Times New Roman" w:eastAsia="Times New Roman" w:hAnsi="Times New Roman" w:cs="Times New Roman"/>
          <w:sz w:val="24"/>
          <w:szCs w:val="24"/>
          <w:bdr w:val="nil"/>
          <w:lang w:val="sv-SE"/>
        </w:rPr>
        <w:t>gudstjänsten.</w:t>
      </w:r>
    </w:p>
    <w:p w:rsidR="00E94677" w:rsidRPr="00A13D17" w:rsidRDefault="00674637" w:rsidP="00E94677">
      <w:pPr>
        <w:jc w:val="both"/>
        <w:rPr>
          <w:rFonts w:ascii="Times New Roman" w:hAnsi="Times New Roman" w:cs="Times New Roman"/>
          <w:b/>
          <w:sz w:val="24"/>
          <w:szCs w:val="24"/>
          <w:lang w:val="sv-SE"/>
        </w:rPr>
      </w:pPr>
      <w:r>
        <w:rPr>
          <w:rFonts w:ascii="Times New Roman" w:eastAsia="Times New Roman" w:hAnsi="Times New Roman" w:cs="Times New Roman"/>
          <w:b/>
          <w:bCs/>
          <w:sz w:val="24"/>
          <w:szCs w:val="24"/>
          <w:bdr w:val="nil"/>
          <w:lang w:val="sv-SE"/>
        </w:rPr>
        <w:t>2.2. Praxis inom andra kyrkor</w:t>
      </w:r>
    </w:p>
    <w:p w:rsidR="00E94677" w:rsidRPr="00A13D17" w:rsidRDefault="00674637" w:rsidP="00E94677">
      <w:p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Bland de systerkyrkor med vilka Evangelisk-lutherska kyrkan i Finland har altar- och predikstolsgemenskap är det ganska vanligt att också präster från andra kyrkor är välkomna att predika vid gudstjänsten:</w:t>
      </w:r>
    </w:p>
    <w:p w:rsidR="00E94677" w:rsidRPr="00A13D17" w:rsidRDefault="00674637" w:rsidP="00831C1F">
      <w:pPr>
        <w:pStyle w:val="Luettelokappale"/>
        <w:numPr>
          <w:ilvl w:val="0"/>
          <w:numId w:val="2"/>
        </w:num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 xml:space="preserve">Inom Svenska kyrkan är det helt möjligt att en präst från en annan kristen kyrka predikar vid gudstjänsten. </w:t>
      </w:r>
      <w:r w:rsidR="00831C1F" w:rsidRPr="00831C1F">
        <w:rPr>
          <w:rFonts w:ascii="Times New Roman" w:eastAsia="Times New Roman" w:hAnsi="Times New Roman" w:cs="Times New Roman"/>
          <w:sz w:val="24"/>
          <w:szCs w:val="24"/>
          <w:bdr w:val="nil"/>
          <w:lang w:val="sv-SE"/>
        </w:rPr>
        <w:t>Det händer särskilt 14:e söndagen efter Trefaldighet, då temat är enheten i Kristus.</w:t>
      </w:r>
      <w:r>
        <w:rPr>
          <w:rFonts w:ascii="Times New Roman" w:eastAsia="Times New Roman" w:hAnsi="Times New Roman" w:cs="Times New Roman"/>
          <w:sz w:val="24"/>
          <w:szCs w:val="24"/>
          <w:bdr w:val="nil"/>
          <w:lang w:val="sv-SE"/>
        </w:rPr>
        <w:t xml:space="preserve"> I synnerhet på landsbygden är det vanligt att man </w:t>
      </w:r>
      <w:r w:rsidR="0011260F">
        <w:rPr>
          <w:rFonts w:ascii="Times New Roman" w:eastAsia="Times New Roman" w:hAnsi="Times New Roman" w:cs="Times New Roman"/>
          <w:sz w:val="24"/>
          <w:szCs w:val="24"/>
          <w:bdr w:val="nil"/>
          <w:lang w:val="sv-SE"/>
        </w:rPr>
        <w:t>”</w:t>
      </w:r>
      <w:r>
        <w:rPr>
          <w:rFonts w:ascii="Times New Roman" w:eastAsia="Times New Roman" w:hAnsi="Times New Roman" w:cs="Times New Roman"/>
          <w:sz w:val="24"/>
          <w:szCs w:val="24"/>
          <w:bdr w:val="nil"/>
          <w:lang w:val="sv-SE"/>
        </w:rPr>
        <w:t>byter predikstol</w:t>
      </w:r>
      <w:r w:rsidR="0011260F">
        <w:rPr>
          <w:rFonts w:ascii="Times New Roman" w:eastAsia="Times New Roman" w:hAnsi="Times New Roman" w:cs="Times New Roman"/>
          <w:sz w:val="24"/>
          <w:szCs w:val="24"/>
          <w:bdr w:val="nil"/>
          <w:lang w:val="sv-SE"/>
        </w:rPr>
        <w:t>”</w:t>
      </w:r>
      <w:r>
        <w:rPr>
          <w:rFonts w:ascii="Times New Roman" w:eastAsia="Times New Roman" w:hAnsi="Times New Roman" w:cs="Times New Roman"/>
          <w:sz w:val="24"/>
          <w:szCs w:val="24"/>
          <w:bdr w:val="nil"/>
          <w:lang w:val="sv-SE"/>
        </w:rPr>
        <w:t xml:space="preserve"> den dagen.</w:t>
      </w:r>
    </w:p>
    <w:p w:rsidR="00E94677" w:rsidRPr="00A13D17" w:rsidRDefault="003502AA" w:rsidP="00E94677">
      <w:pPr>
        <w:pStyle w:val="Luettelokappale"/>
        <w:jc w:val="both"/>
        <w:rPr>
          <w:rFonts w:ascii="Times New Roman" w:hAnsi="Times New Roman" w:cs="Times New Roman"/>
          <w:sz w:val="24"/>
          <w:szCs w:val="24"/>
          <w:lang w:val="sv-SE"/>
        </w:rPr>
      </w:pPr>
    </w:p>
    <w:p w:rsidR="00E94677" w:rsidRPr="00A13D17" w:rsidRDefault="00674637" w:rsidP="00E94677">
      <w:pPr>
        <w:pStyle w:val="Luettelokappale"/>
        <w:numPr>
          <w:ilvl w:val="0"/>
          <w:numId w:val="2"/>
        </w:num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 xml:space="preserve">Inom norska kyrkan kan en präst från en annan kyrka predika vid gudstjänsten om biskopen ger sitt tillstånd till det på förhand. </w:t>
      </w:r>
    </w:p>
    <w:p w:rsidR="00E94677" w:rsidRPr="00A13D17" w:rsidRDefault="003502AA" w:rsidP="00E94677">
      <w:pPr>
        <w:pStyle w:val="Luettelokappale"/>
        <w:jc w:val="both"/>
        <w:rPr>
          <w:rFonts w:ascii="Times New Roman" w:hAnsi="Times New Roman" w:cs="Times New Roman"/>
          <w:sz w:val="24"/>
          <w:szCs w:val="24"/>
          <w:lang w:val="sv-SE"/>
        </w:rPr>
      </w:pPr>
    </w:p>
    <w:p w:rsidR="00E94677" w:rsidRDefault="00674637" w:rsidP="00831C1F">
      <w:pPr>
        <w:pStyle w:val="Luettelokappale"/>
        <w:numPr>
          <w:ilvl w:val="0"/>
          <w:numId w:val="2"/>
        </w:numPr>
        <w:jc w:val="both"/>
        <w:rPr>
          <w:rFonts w:ascii="Times New Roman" w:hAnsi="Times New Roman" w:cs="Times New Roman"/>
          <w:sz w:val="24"/>
          <w:szCs w:val="24"/>
          <w:lang w:val="fi-FI"/>
        </w:rPr>
      </w:pPr>
      <w:r>
        <w:rPr>
          <w:rFonts w:ascii="Times New Roman" w:eastAsia="Times New Roman" w:hAnsi="Times New Roman" w:cs="Times New Roman"/>
          <w:sz w:val="24"/>
          <w:szCs w:val="24"/>
          <w:bdr w:val="nil"/>
          <w:lang w:val="sv-SE"/>
        </w:rPr>
        <w:t xml:space="preserve">Inom danska kyrkan gäller samma predikomöjlighet, förutsatt att biskopen och församlingsrådet hörs om saken. I praktiken är det inga problem om prästen kommer från en kyrka med vilken danska kyrkan har ingått ett ekumeniskt avtal. </w:t>
      </w:r>
      <w:r w:rsidR="00831C1F" w:rsidRPr="00831C1F">
        <w:rPr>
          <w:rFonts w:ascii="Times New Roman" w:eastAsia="Times New Roman" w:hAnsi="Times New Roman" w:cs="Times New Roman"/>
          <w:sz w:val="24"/>
          <w:szCs w:val="24"/>
          <w:bdr w:val="nil"/>
          <w:lang w:val="sv-SE"/>
        </w:rPr>
        <w:t>I andra fall bör dock tillstånd begäras av biskopen.</w:t>
      </w:r>
    </w:p>
    <w:p w:rsidR="009A1357" w:rsidRPr="009A1357" w:rsidRDefault="003502AA" w:rsidP="009A1357">
      <w:pPr>
        <w:pStyle w:val="Luettelokappale"/>
        <w:rPr>
          <w:rFonts w:ascii="Times New Roman" w:hAnsi="Times New Roman" w:cs="Times New Roman"/>
          <w:sz w:val="24"/>
          <w:szCs w:val="24"/>
          <w:lang w:val="fi-FI"/>
        </w:rPr>
      </w:pPr>
    </w:p>
    <w:p w:rsidR="009A1357" w:rsidRPr="00A13D17" w:rsidRDefault="00674637" w:rsidP="009A1357">
      <w:pPr>
        <w:pStyle w:val="Luettelokappale"/>
        <w:numPr>
          <w:ilvl w:val="0"/>
          <w:numId w:val="2"/>
        </w:num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 xml:space="preserve">Evangelisk-lutherska kyrkan på Island bedriver ett ekumeniskt samarbete via </w:t>
      </w:r>
      <w:r w:rsidR="0011260F">
        <w:rPr>
          <w:rFonts w:ascii="Times New Roman" w:eastAsia="Times New Roman" w:hAnsi="Times New Roman" w:cs="Times New Roman"/>
          <w:sz w:val="24"/>
          <w:szCs w:val="24"/>
          <w:bdr w:val="nil"/>
          <w:lang w:val="sv-SE"/>
        </w:rPr>
        <w:t>”</w:t>
      </w:r>
      <w:r>
        <w:rPr>
          <w:rFonts w:ascii="Times New Roman" w:eastAsia="Times New Roman" w:hAnsi="Times New Roman" w:cs="Times New Roman"/>
          <w:sz w:val="24"/>
          <w:szCs w:val="24"/>
          <w:bdr w:val="nil"/>
          <w:lang w:val="sv-SE"/>
        </w:rPr>
        <w:t>Samarbetskommittén för de kristna samfunden</w:t>
      </w:r>
      <w:r w:rsidR="0011260F">
        <w:rPr>
          <w:rFonts w:ascii="Times New Roman" w:eastAsia="Times New Roman" w:hAnsi="Times New Roman" w:cs="Times New Roman"/>
          <w:sz w:val="24"/>
          <w:szCs w:val="24"/>
          <w:bdr w:val="nil"/>
          <w:lang w:val="sv-SE"/>
        </w:rPr>
        <w:t>”</w:t>
      </w:r>
      <w:r>
        <w:rPr>
          <w:rFonts w:ascii="Times New Roman" w:eastAsia="Times New Roman" w:hAnsi="Times New Roman" w:cs="Times New Roman"/>
          <w:sz w:val="24"/>
          <w:szCs w:val="24"/>
          <w:bdr w:val="nil"/>
          <w:lang w:val="sv-SE"/>
        </w:rPr>
        <w:t xml:space="preserve"> (</w:t>
      </w:r>
      <w:proofErr w:type="spellStart"/>
      <w:r>
        <w:rPr>
          <w:rFonts w:ascii="Times New Roman" w:eastAsia="Times New Roman" w:hAnsi="Times New Roman" w:cs="Times New Roman"/>
          <w:i/>
          <w:iCs/>
          <w:sz w:val="24"/>
          <w:szCs w:val="24"/>
          <w:bdr w:val="nil"/>
          <w:lang w:val="sv-SE"/>
        </w:rPr>
        <w:t>Samstarfsnefnd</w:t>
      </w:r>
      <w:proofErr w:type="spellEnd"/>
      <w:r>
        <w:rPr>
          <w:rFonts w:ascii="Times New Roman" w:eastAsia="Times New Roman" w:hAnsi="Times New Roman" w:cs="Times New Roman"/>
          <w:i/>
          <w:iCs/>
          <w:sz w:val="24"/>
          <w:szCs w:val="24"/>
          <w:bdr w:val="nil"/>
          <w:lang w:val="sv-SE"/>
        </w:rPr>
        <w:t xml:space="preserve"> </w:t>
      </w:r>
      <w:proofErr w:type="spellStart"/>
      <w:r>
        <w:rPr>
          <w:rFonts w:ascii="Times New Roman" w:eastAsia="Times New Roman" w:hAnsi="Times New Roman" w:cs="Times New Roman"/>
          <w:i/>
          <w:iCs/>
          <w:sz w:val="24"/>
          <w:szCs w:val="24"/>
          <w:bdr w:val="nil"/>
          <w:lang w:val="sv-SE"/>
        </w:rPr>
        <w:t>kristinna</w:t>
      </w:r>
      <w:proofErr w:type="spellEnd"/>
      <w:r>
        <w:rPr>
          <w:rFonts w:ascii="Times New Roman" w:eastAsia="Times New Roman" w:hAnsi="Times New Roman" w:cs="Times New Roman"/>
          <w:i/>
          <w:iCs/>
          <w:sz w:val="24"/>
          <w:szCs w:val="24"/>
          <w:bdr w:val="nil"/>
          <w:lang w:val="sv-SE"/>
        </w:rPr>
        <w:t xml:space="preserve"> </w:t>
      </w:r>
      <w:proofErr w:type="spellStart"/>
      <w:r>
        <w:rPr>
          <w:rFonts w:ascii="Times New Roman" w:eastAsia="Times New Roman" w:hAnsi="Times New Roman" w:cs="Times New Roman"/>
          <w:i/>
          <w:iCs/>
          <w:sz w:val="24"/>
          <w:szCs w:val="24"/>
          <w:bdr w:val="nil"/>
          <w:lang w:val="sv-SE"/>
        </w:rPr>
        <w:t>trúfélaga</w:t>
      </w:r>
      <w:proofErr w:type="spellEnd"/>
      <w:r>
        <w:rPr>
          <w:rFonts w:ascii="Times New Roman" w:eastAsia="Times New Roman" w:hAnsi="Times New Roman" w:cs="Times New Roman"/>
          <w:sz w:val="24"/>
          <w:szCs w:val="24"/>
          <w:bdr w:val="nil"/>
          <w:lang w:val="sv-SE"/>
        </w:rPr>
        <w:t>). Det innebär att ledare från andra kyrkor ibland kan predika i en evangelisk-luthersk kyrka.</w:t>
      </w:r>
    </w:p>
    <w:p w:rsidR="009A1357" w:rsidRPr="00A13D17" w:rsidRDefault="003502AA" w:rsidP="009A1357">
      <w:pPr>
        <w:pStyle w:val="Luettelokappale"/>
        <w:jc w:val="both"/>
        <w:rPr>
          <w:rFonts w:ascii="Times New Roman" w:hAnsi="Times New Roman" w:cs="Times New Roman"/>
          <w:sz w:val="24"/>
          <w:szCs w:val="24"/>
          <w:lang w:val="sv-SE"/>
        </w:rPr>
      </w:pPr>
    </w:p>
    <w:p w:rsidR="00EC5EC3" w:rsidRPr="00A13D17" w:rsidRDefault="00674637" w:rsidP="00EC5EC3">
      <w:pPr>
        <w:pStyle w:val="Luettelokappale"/>
        <w:numPr>
          <w:ilvl w:val="0"/>
          <w:numId w:val="2"/>
        </w:num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Inom Evangelisk-lutherska kyrkan i Estland är det möjligt att predika med den lokala pastorns tillstånd, och denna möjlighet utnyttjas ibland i särskilda situationer. Till exempel under den ekumeniska böneveckan brukar präster och pastorer från olika kyrkor predika i varandras församlingar.</w:t>
      </w:r>
    </w:p>
    <w:p w:rsidR="00EC5EC3" w:rsidRPr="00A13D17" w:rsidRDefault="003502AA" w:rsidP="00EC5EC3">
      <w:pPr>
        <w:pStyle w:val="Luettelokappale"/>
        <w:jc w:val="both"/>
        <w:rPr>
          <w:rFonts w:ascii="Times New Roman" w:hAnsi="Times New Roman" w:cs="Times New Roman"/>
          <w:sz w:val="24"/>
          <w:szCs w:val="24"/>
          <w:lang w:val="sv-SE"/>
        </w:rPr>
      </w:pPr>
    </w:p>
    <w:p w:rsidR="00E94677" w:rsidRPr="00A13D17" w:rsidRDefault="00674637" w:rsidP="00E94677">
      <w:pPr>
        <w:pStyle w:val="Luettelokappale"/>
        <w:numPr>
          <w:ilvl w:val="0"/>
          <w:numId w:val="2"/>
        </w:num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 xml:space="preserve">Inom </w:t>
      </w:r>
      <w:proofErr w:type="spellStart"/>
      <w:r>
        <w:rPr>
          <w:rFonts w:ascii="Times New Roman" w:eastAsia="Times New Roman" w:hAnsi="Times New Roman" w:cs="Times New Roman"/>
          <w:sz w:val="24"/>
          <w:szCs w:val="24"/>
          <w:bdr w:val="nil"/>
          <w:lang w:val="sv-SE"/>
        </w:rPr>
        <w:t>Evangelische</w:t>
      </w:r>
      <w:proofErr w:type="spellEnd"/>
      <w:r>
        <w:rPr>
          <w:rFonts w:ascii="Times New Roman" w:eastAsia="Times New Roman" w:hAnsi="Times New Roman" w:cs="Times New Roman"/>
          <w:sz w:val="24"/>
          <w:szCs w:val="24"/>
          <w:bdr w:val="nil"/>
          <w:lang w:val="sv-SE"/>
        </w:rPr>
        <w:t xml:space="preserve"> </w:t>
      </w:r>
      <w:proofErr w:type="spellStart"/>
      <w:r>
        <w:rPr>
          <w:rFonts w:ascii="Times New Roman" w:eastAsia="Times New Roman" w:hAnsi="Times New Roman" w:cs="Times New Roman"/>
          <w:sz w:val="24"/>
          <w:szCs w:val="24"/>
          <w:bdr w:val="nil"/>
          <w:lang w:val="sv-SE"/>
        </w:rPr>
        <w:t>Kirche</w:t>
      </w:r>
      <w:proofErr w:type="spellEnd"/>
      <w:r>
        <w:rPr>
          <w:rFonts w:ascii="Times New Roman" w:eastAsia="Times New Roman" w:hAnsi="Times New Roman" w:cs="Times New Roman"/>
          <w:sz w:val="24"/>
          <w:szCs w:val="24"/>
          <w:bdr w:val="nil"/>
          <w:lang w:val="sv-SE"/>
        </w:rPr>
        <w:t xml:space="preserve"> in Deutschland (EKD) är det möjligt att kalla präster från andra kyrkor att predika. </w:t>
      </w:r>
    </w:p>
    <w:p w:rsidR="00E94677" w:rsidRPr="00A13D17" w:rsidRDefault="003502AA" w:rsidP="00E94677">
      <w:pPr>
        <w:pStyle w:val="Luettelokappale"/>
        <w:jc w:val="both"/>
        <w:rPr>
          <w:rFonts w:ascii="Times New Roman" w:hAnsi="Times New Roman" w:cs="Times New Roman"/>
          <w:sz w:val="24"/>
          <w:szCs w:val="24"/>
          <w:lang w:val="sv-SE"/>
        </w:rPr>
      </w:pPr>
    </w:p>
    <w:p w:rsidR="00E94677" w:rsidRPr="00A13D17" w:rsidRDefault="00674637" w:rsidP="00E94677">
      <w:pPr>
        <w:pStyle w:val="Luettelokappale"/>
        <w:numPr>
          <w:ilvl w:val="0"/>
          <w:numId w:val="2"/>
        </w:num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 xml:space="preserve">Inom engelska kyrkan kan en medlem av en annan kyrka som är döpt och har gott rykte inom sin egen kyrka bland annat kallas att </w:t>
      </w:r>
      <w:r w:rsidR="0011260F">
        <w:rPr>
          <w:rFonts w:ascii="Times New Roman" w:eastAsia="Times New Roman" w:hAnsi="Times New Roman" w:cs="Times New Roman"/>
          <w:sz w:val="24"/>
          <w:szCs w:val="24"/>
          <w:bdr w:val="nil"/>
          <w:lang w:val="sv-SE"/>
        </w:rPr>
        <w:t>”</w:t>
      </w:r>
      <w:r>
        <w:rPr>
          <w:rFonts w:ascii="Times New Roman" w:eastAsia="Times New Roman" w:hAnsi="Times New Roman" w:cs="Times New Roman"/>
          <w:sz w:val="24"/>
          <w:szCs w:val="24"/>
          <w:bdr w:val="nil"/>
          <w:lang w:val="sv-SE"/>
        </w:rPr>
        <w:t>predika vid vilken gudstjänst som helst</w:t>
      </w:r>
      <w:r w:rsidR="0011260F">
        <w:rPr>
          <w:rFonts w:ascii="Times New Roman" w:eastAsia="Times New Roman" w:hAnsi="Times New Roman" w:cs="Times New Roman"/>
          <w:sz w:val="24"/>
          <w:szCs w:val="24"/>
          <w:bdr w:val="nil"/>
          <w:lang w:val="sv-SE"/>
        </w:rPr>
        <w:t>”</w:t>
      </w:r>
      <w:r>
        <w:rPr>
          <w:rFonts w:ascii="Times New Roman" w:eastAsia="Times New Roman" w:hAnsi="Times New Roman" w:cs="Times New Roman"/>
          <w:sz w:val="24"/>
          <w:szCs w:val="24"/>
          <w:bdr w:val="nil"/>
          <w:lang w:val="sv-SE"/>
        </w:rPr>
        <w:t>, om han eller hon har motsvarande rätt i sin egen kyrka. (</w:t>
      </w:r>
      <w:r>
        <w:rPr>
          <w:rFonts w:ascii="Times New Roman" w:eastAsia="Times New Roman" w:hAnsi="Times New Roman" w:cs="Times New Roman"/>
          <w:i/>
          <w:iCs/>
          <w:sz w:val="24"/>
          <w:szCs w:val="24"/>
          <w:bdr w:val="nil"/>
          <w:lang w:val="sv-SE"/>
        </w:rPr>
        <w:t xml:space="preserve">Canon B 43 of Relations with Other Churches, </w:t>
      </w:r>
      <w:r>
        <w:rPr>
          <w:rFonts w:ascii="Times New Roman" w:eastAsia="Times New Roman" w:hAnsi="Times New Roman" w:cs="Times New Roman"/>
          <w:sz w:val="24"/>
          <w:szCs w:val="24"/>
          <w:bdr w:val="nil"/>
          <w:lang w:val="sv-SE"/>
        </w:rPr>
        <w:t>1). Om personen i fråga inte är döpt, krävs biskopens tillstånd för detta.</w:t>
      </w:r>
    </w:p>
    <w:p w:rsidR="00E94677" w:rsidRPr="00E94677" w:rsidRDefault="00674637" w:rsidP="00E94677">
      <w:pPr>
        <w:jc w:val="both"/>
        <w:rPr>
          <w:rFonts w:ascii="Times New Roman" w:hAnsi="Times New Roman" w:cs="Times New Roman"/>
          <w:sz w:val="24"/>
          <w:szCs w:val="24"/>
          <w:lang w:val="fi-FI"/>
        </w:rPr>
      </w:pPr>
      <w:r>
        <w:rPr>
          <w:rFonts w:ascii="Times New Roman" w:eastAsia="Times New Roman" w:hAnsi="Times New Roman" w:cs="Times New Roman"/>
          <w:sz w:val="24"/>
          <w:szCs w:val="24"/>
          <w:bdr w:val="nil"/>
          <w:lang w:val="sv-SE"/>
        </w:rPr>
        <w:lastRenderedPageBreak/>
        <w:t>Även de ekumeniska samarbetskyrkor som verkar i Finland förhåller sig i regel positivt till möjligheten att deras präster kan besöka och predika vid en luthersk gudstjänst. Det finns emellertid vissa betoningsskillnader när det gäller ömsesidigheten:</w:t>
      </w:r>
    </w:p>
    <w:p w:rsidR="00E94677" w:rsidRPr="00A13D17" w:rsidRDefault="00674637" w:rsidP="00E94677">
      <w:pPr>
        <w:pStyle w:val="Luettelokappale"/>
        <w:numPr>
          <w:ilvl w:val="0"/>
          <w:numId w:val="2"/>
        </w:num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 xml:space="preserve">Inom katolska kyrkan kan präster från andra kyrkor inte predika vid mässan, men nog till exempel vid vespern. Ett undantag är S:t Henriksmässan, som firas i Rom i januari. </w:t>
      </w:r>
    </w:p>
    <w:p w:rsidR="00E94677" w:rsidRPr="00A13D17" w:rsidRDefault="003502AA" w:rsidP="00E94677">
      <w:pPr>
        <w:pStyle w:val="Luettelokappale"/>
        <w:jc w:val="both"/>
        <w:rPr>
          <w:rFonts w:ascii="Times New Roman" w:hAnsi="Times New Roman" w:cs="Times New Roman"/>
          <w:sz w:val="24"/>
          <w:szCs w:val="24"/>
          <w:lang w:val="sv-SE"/>
        </w:rPr>
      </w:pPr>
    </w:p>
    <w:p w:rsidR="00E94677" w:rsidRPr="00A13D17" w:rsidRDefault="00674637" w:rsidP="00E94677">
      <w:pPr>
        <w:pStyle w:val="Luettelokappale"/>
        <w:numPr>
          <w:ilvl w:val="0"/>
          <w:numId w:val="2"/>
        </w:num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 xml:space="preserve">Inom den ortodoxa kyrkan kan präster från andra kyrkor predika med biskopens tillstånd. </w:t>
      </w:r>
    </w:p>
    <w:p w:rsidR="00E94677" w:rsidRPr="00A13D17" w:rsidRDefault="003502AA" w:rsidP="00E94677">
      <w:pPr>
        <w:pStyle w:val="Luettelokappale"/>
        <w:jc w:val="both"/>
        <w:rPr>
          <w:rFonts w:ascii="Times New Roman" w:hAnsi="Times New Roman" w:cs="Times New Roman"/>
          <w:sz w:val="24"/>
          <w:szCs w:val="24"/>
          <w:lang w:val="sv-SE"/>
        </w:rPr>
      </w:pPr>
    </w:p>
    <w:p w:rsidR="00E94677" w:rsidRPr="00A13D17" w:rsidRDefault="00674637" w:rsidP="00E94677">
      <w:pPr>
        <w:pStyle w:val="Luettelokappale"/>
        <w:numPr>
          <w:ilvl w:val="0"/>
          <w:numId w:val="2"/>
        </w:num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Inom de kristna frikyrkorna (till exempel Finska Baptistkyrkan, Suomen Vapaakirkko, Pingströrelsen) betraktas ömsesidig gästvänlighet som en entydigt positiv ekumenisk möjlighet.</w:t>
      </w:r>
    </w:p>
    <w:p w:rsidR="00E94677" w:rsidRPr="00A13D17" w:rsidRDefault="00674637" w:rsidP="00E94677">
      <w:pPr>
        <w:jc w:val="both"/>
        <w:rPr>
          <w:rFonts w:ascii="Times New Roman" w:hAnsi="Times New Roman" w:cs="Times New Roman"/>
          <w:b/>
          <w:sz w:val="24"/>
          <w:szCs w:val="24"/>
          <w:lang w:val="sv-SE"/>
        </w:rPr>
      </w:pPr>
      <w:r>
        <w:rPr>
          <w:rFonts w:ascii="Times New Roman" w:eastAsia="Times New Roman" w:hAnsi="Times New Roman" w:cs="Times New Roman"/>
          <w:b/>
          <w:bCs/>
          <w:sz w:val="24"/>
          <w:szCs w:val="24"/>
          <w:bdr w:val="nil"/>
          <w:lang w:val="sv-SE"/>
        </w:rPr>
        <w:t>2.3. Bedömning av nuläget</w:t>
      </w:r>
    </w:p>
    <w:p w:rsidR="00E94677" w:rsidRPr="00A13D17" w:rsidRDefault="00674637" w:rsidP="00E94677">
      <w:p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Om präster från andra kyrkor gavs möjlighet att predika vid en luthersk gudstjänst skulle detta signalera om ömsesidig respekt och förtroende mellan kyrkorna. Möjligheten att predika kunde skapa en grund för en öppen dialog med församlingsmedlemmarna till exempel i samband med kyrkkaffe, vilket skulle främja ekumeniken och skingra fördomar. Den gällande kyrkolagstiftningen begränsar dock i praktiken den lokala ekumeniken och dess utveckling i detta avseende.</w:t>
      </w:r>
    </w:p>
    <w:p w:rsidR="00E94677" w:rsidRPr="00A13D17" w:rsidRDefault="00674637" w:rsidP="00E94677">
      <w:p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 xml:space="preserve">Enligt de nuvarande anvisningarna kan en präst från en annan kyrka på sin höjd kallas att hålla ett hälsningstal till församlingen på lämplig plats i gudstjänsten. Det är emellertid oklart om en sporadisk gudstjänstdeltagare uppfattar att hälsningstalet skiljer sig från den egentliga predikan. Predikan uppfattas inte heller nuförtiden som bunden till en enda form, utan man kan ordna till exempel dialog- eller intervjupredikningar, i synnerhet då församlingen har ekumeniska gäster. I praktiken skulle det således inte innebära någon större förändring jämfört med nuläget om en präst från en annan kyrka kallas att predika vid gudstjänsten, men ekumeniskt sett skulle det möjliggöra ny praxis. </w:t>
      </w:r>
    </w:p>
    <w:p w:rsidR="00E94677" w:rsidRPr="00A13D17" w:rsidRDefault="00674637" w:rsidP="00E94677">
      <w:p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 xml:space="preserve">Enligt det nuvarande liturgiska tankesättet har de kyrkliga förrättningarna karaktären av en gudstjänst. I </w:t>
      </w:r>
      <w:r>
        <w:rPr>
          <w:rFonts w:ascii="Times New Roman" w:eastAsia="Times New Roman" w:hAnsi="Times New Roman" w:cs="Times New Roman"/>
          <w:i/>
          <w:iCs/>
          <w:sz w:val="24"/>
          <w:szCs w:val="24"/>
          <w:bdr w:val="nil"/>
          <w:lang w:val="sv-SE"/>
        </w:rPr>
        <w:t>Du är med mig: Handledning för kyrkliga förrättningar</w:t>
      </w:r>
      <w:r>
        <w:rPr>
          <w:rFonts w:ascii="Times New Roman" w:eastAsia="Times New Roman" w:hAnsi="Times New Roman" w:cs="Times New Roman"/>
          <w:sz w:val="24"/>
          <w:szCs w:val="24"/>
          <w:bdr w:val="nil"/>
          <w:lang w:val="sv-SE"/>
        </w:rPr>
        <w:t xml:space="preserve">, som godkändes av biskopsmötet den 13–14 september 2005, jämställs ordets del i de kyrkliga förrättningarna med predikan (s. 11): </w:t>
      </w:r>
      <w:r w:rsidR="0011260F">
        <w:rPr>
          <w:rFonts w:ascii="Times New Roman" w:eastAsia="Times New Roman" w:hAnsi="Times New Roman" w:cs="Times New Roman"/>
          <w:sz w:val="24"/>
          <w:szCs w:val="24"/>
          <w:bdr w:val="nil"/>
          <w:lang w:val="sv-SE"/>
        </w:rPr>
        <w:t>”</w:t>
      </w:r>
      <w:r>
        <w:rPr>
          <w:rFonts w:ascii="Times New Roman" w:eastAsia="Times New Roman" w:hAnsi="Times New Roman" w:cs="Times New Roman"/>
          <w:sz w:val="24"/>
          <w:szCs w:val="24"/>
          <w:bdr w:val="nil"/>
          <w:lang w:val="sv-SE"/>
        </w:rPr>
        <w:t>Talet hålls efter läsningen av bibeltexterna. Predikans uppgift är att på ett aktuellt och livfullt sätt förkunna Guds ord. I den lutherska traditionen betraktar man ordets förkunnelse som ett nådemedel och därför innehåller förrättningarna också förkunnelse.</w:t>
      </w:r>
      <w:r w:rsidR="0011260F">
        <w:rPr>
          <w:rFonts w:ascii="Times New Roman" w:eastAsia="Times New Roman" w:hAnsi="Times New Roman" w:cs="Times New Roman"/>
          <w:sz w:val="24"/>
          <w:szCs w:val="24"/>
          <w:bdr w:val="nil"/>
          <w:lang w:val="sv-SE"/>
        </w:rPr>
        <w:t>”</w:t>
      </w:r>
    </w:p>
    <w:p w:rsidR="00E94677" w:rsidRPr="00A13D17" w:rsidRDefault="00674637" w:rsidP="00E94677">
      <w:p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I principiellt hänseende är det värt att notera att 2 kap. 22 § 2 mom. i kyrkoordningen redan nu i undantagsfall tillåter att en präst från någon annan kyrka förrättar en jordfästning. Rätten att predika kan således redan nu överlåtas till en präst från vilken kristen kyrka som helst när det gäller en jordfästning. Det föreslås att motsvarande möjlighet utvidgas till att gälla också gudstjänsten.</w:t>
      </w:r>
    </w:p>
    <w:p w:rsidR="00E94677" w:rsidRPr="00A13D17" w:rsidRDefault="00674637" w:rsidP="00E94677">
      <w:p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 xml:space="preserve">Den föreslagna ändringen innebär inte att ordets makt delegeras bort från det särskilda predikoämbetet inom den lutherska kyrkan, eftersom predikan alltid hålls utgående från kyrkoherdens kallelse. Dessutom är det den präst som fungerar som liturg som leder gudstjänsten och ansvarar för den som helhet (se </w:t>
      </w:r>
      <w:r>
        <w:rPr>
          <w:rFonts w:ascii="Times New Roman" w:eastAsia="Times New Roman" w:hAnsi="Times New Roman" w:cs="Times New Roman"/>
          <w:i/>
          <w:iCs/>
          <w:sz w:val="24"/>
          <w:szCs w:val="24"/>
          <w:bdr w:val="nil"/>
          <w:lang w:val="sv-SE"/>
        </w:rPr>
        <w:t>Gudstjänstboken</w:t>
      </w:r>
      <w:r>
        <w:rPr>
          <w:rFonts w:ascii="Times New Roman" w:eastAsia="Times New Roman" w:hAnsi="Times New Roman" w:cs="Times New Roman"/>
          <w:sz w:val="24"/>
          <w:szCs w:val="24"/>
          <w:bdr w:val="nil"/>
          <w:lang w:val="sv-SE"/>
        </w:rPr>
        <w:t>, s. 8). En präst som kallas för att predika har inga andra rättigheter eller skyldigheter i genomförandet av gudstjänsten (till exempel utdelning av nattvarden).</w:t>
      </w:r>
    </w:p>
    <w:p w:rsidR="00F950EF" w:rsidRPr="00A13D17" w:rsidRDefault="003502AA" w:rsidP="00E94677">
      <w:pPr>
        <w:jc w:val="both"/>
        <w:rPr>
          <w:rFonts w:ascii="Times New Roman" w:hAnsi="Times New Roman" w:cs="Times New Roman"/>
          <w:sz w:val="24"/>
          <w:szCs w:val="24"/>
          <w:lang w:val="sv-SE"/>
        </w:rPr>
      </w:pPr>
    </w:p>
    <w:p w:rsidR="00E94677" w:rsidRPr="00A13D17" w:rsidRDefault="00674637" w:rsidP="00831C1F">
      <w:pPr>
        <w:keepNext/>
        <w:jc w:val="both"/>
        <w:rPr>
          <w:rFonts w:ascii="Times New Roman" w:hAnsi="Times New Roman" w:cs="Times New Roman"/>
          <w:b/>
          <w:sz w:val="24"/>
          <w:szCs w:val="24"/>
          <w:lang w:val="sv-SE"/>
        </w:rPr>
      </w:pPr>
      <w:r>
        <w:rPr>
          <w:rFonts w:ascii="Times New Roman" w:eastAsia="Times New Roman" w:hAnsi="Times New Roman" w:cs="Times New Roman"/>
          <w:b/>
          <w:bCs/>
          <w:sz w:val="24"/>
          <w:szCs w:val="24"/>
          <w:bdr w:val="nil"/>
          <w:lang w:val="sv-SE"/>
        </w:rPr>
        <w:lastRenderedPageBreak/>
        <w:t>3. Målsättning och de viktigaste förslagen</w:t>
      </w:r>
    </w:p>
    <w:p w:rsidR="00E94677" w:rsidRPr="00A13D17" w:rsidRDefault="00674637" w:rsidP="00E94677">
      <w:p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Syftet med framställningen är att främja den lokala ekumeniken genom att möjliggöra en naturligare och intensivare ekumenisk växelverkan. Den omfattar predikoämbetet också i sådana situationer där ingen nattvardsgemenskap mellan kyrkorna har uppnåtts.</w:t>
      </w:r>
    </w:p>
    <w:p w:rsidR="00E94677" w:rsidRPr="00A13D17" w:rsidRDefault="00674637" w:rsidP="00E94677">
      <w:p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 xml:space="preserve">Det föreslås att kyrkoherden ges rätt att i enskilda fall kalla också </w:t>
      </w:r>
      <w:r w:rsidR="0011260F">
        <w:rPr>
          <w:rFonts w:ascii="Times New Roman" w:eastAsia="Times New Roman" w:hAnsi="Times New Roman" w:cs="Times New Roman"/>
          <w:sz w:val="24"/>
          <w:szCs w:val="24"/>
          <w:bdr w:val="nil"/>
          <w:lang w:val="sv-SE"/>
        </w:rPr>
        <w:t>”</w:t>
      </w:r>
      <w:r>
        <w:rPr>
          <w:rFonts w:ascii="Times New Roman" w:eastAsia="Times New Roman" w:hAnsi="Times New Roman" w:cs="Times New Roman"/>
          <w:sz w:val="24"/>
          <w:szCs w:val="24"/>
          <w:bdr w:val="nil"/>
          <w:lang w:val="sv-SE"/>
        </w:rPr>
        <w:t>en präst från någon annan kristen kyrka eller ett därmed jämställt samfund</w:t>
      </w:r>
      <w:r w:rsidR="0011260F">
        <w:rPr>
          <w:rFonts w:ascii="Times New Roman" w:eastAsia="Times New Roman" w:hAnsi="Times New Roman" w:cs="Times New Roman"/>
          <w:sz w:val="24"/>
          <w:szCs w:val="24"/>
          <w:bdr w:val="nil"/>
          <w:lang w:val="sv-SE"/>
        </w:rPr>
        <w:t>”</w:t>
      </w:r>
      <w:r>
        <w:rPr>
          <w:rFonts w:ascii="Times New Roman" w:eastAsia="Times New Roman" w:hAnsi="Times New Roman" w:cs="Times New Roman"/>
          <w:sz w:val="24"/>
          <w:szCs w:val="24"/>
          <w:bdr w:val="nil"/>
          <w:lang w:val="sv-SE"/>
        </w:rPr>
        <w:t xml:space="preserve"> att predika vid gudstjänsten.</w:t>
      </w:r>
    </w:p>
    <w:p w:rsidR="00E94677" w:rsidRPr="00A13D17" w:rsidRDefault="00674637" w:rsidP="00E94677">
      <w:pPr>
        <w:jc w:val="both"/>
        <w:rPr>
          <w:rFonts w:ascii="Times New Roman" w:hAnsi="Times New Roman" w:cs="Times New Roman"/>
          <w:b/>
          <w:sz w:val="24"/>
          <w:szCs w:val="24"/>
          <w:lang w:val="sv-SE"/>
        </w:rPr>
      </w:pPr>
      <w:r>
        <w:rPr>
          <w:rFonts w:ascii="Times New Roman" w:eastAsia="Times New Roman" w:hAnsi="Times New Roman" w:cs="Times New Roman"/>
          <w:b/>
          <w:bCs/>
          <w:sz w:val="24"/>
          <w:szCs w:val="24"/>
          <w:bdr w:val="nil"/>
          <w:lang w:val="sv-SE"/>
        </w:rPr>
        <w:t>4. Framställningens konsekvenser</w:t>
      </w:r>
    </w:p>
    <w:p w:rsidR="00E94677" w:rsidRPr="00A13D17" w:rsidRDefault="00674637" w:rsidP="00E94677">
      <w:p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 xml:space="preserve">Framställningen har positiva ekumeniska konsekvenser. </w:t>
      </w:r>
    </w:p>
    <w:p w:rsidR="00E94677" w:rsidRPr="00A13D17" w:rsidRDefault="00674637" w:rsidP="00E94677">
      <w:p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 xml:space="preserve">Framställningen bedöms inte ha några betydande ekonomiska konsekvenser. </w:t>
      </w:r>
    </w:p>
    <w:p w:rsidR="00E94677" w:rsidRPr="00A13D17" w:rsidRDefault="00674637" w:rsidP="00E94677">
      <w:pPr>
        <w:jc w:val="both"/>
        <w:rPr>
          <w:rFonts w:ascii="Times New Roman" w:hAnsi="Times New Roman" w:cs="Times New Roman"/>
          <w:b/>
          <w:sz w:val="24"/>
          <w:szCs w:val="24"/>
          <w:lang w:val="sv-SE"/>
        </w:rPr>
      </w:pPr>
      <w:r>
        <w:rPr>
          <w:rFonts w:ascii="Times New Roman" w:eastAsia="Times New Roman" w:hAnsi="Times New Roman" w:cs="Times New Roman"/>
          <w:b/>
          <w:bCs/>
          <w:sz w:val="24"/>
          <w:szCs w:val="24"/>
          <w:bdr w:val="nil"/>
          <w:lang w:val="sv-SE"/>
        </w:rPr>
        <w:t>5. Beredningen av framställningen</w:t>
      </w:r>
    </w:p>
    <w:p w:rsidR="00E94677" w:rsidRPr="00A13D17" w:rsidRDefault="00674637" w:rsidP="00E94677">
      <w:p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Domkapitlet i Borgå stift lämnade 14.1.2015 ett initiativ till biskopsmötet om att biskopsmötet ska utreda det ökade behovet av nattvardsgästvänlighet och rätt för präster från andra kyrkosamfund att predika vid församlingens gudstjänster. Enligt initiativet bör rätten att delta i nattvarden utvidgas till att omfatta alla döpta kristna som har rätt till nattvard i sin egen kyrka.</w:t>
      </w:r>
    </w:p>
    <w:p w:rsidR="00E94677" w:rsidRPr="00A13D17" w:rsidRDefault="00674637" w:rsidP="00E94677">
      <w:p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 xml:space="preserve">Biskopsmötet behandlade initiativet första gången den 8 september 2015 i Borgå, då det tillsatte en arbetsgrupp (biskop Matti Repo, biskop Kaarlo Kalliala, assessor Riitta Särkiö, biskopsmötets generalsekreterare Jyri Komulainen) med uppgiften att utreda möjligheten att </w:t>
      </w:r>
    </w:p>
    <w:p w:rsidR="00E94677" w:rsidRPr="00A13D17" w:rsidRDefault="00674637" w:rsidP="00E94677">
      <w:pPr>
        <w:ind w:left="720"/>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a. ge alla kristna som har rätt att delta i nattvarden i sitt eget kyrkosamfund rätt att delta i nattvarden i Evange</w:t>
      </w:r>
      <w:r w:rsidR="00831C1F">
        <w:rPr>
          <w:rFonts w:ascii="Times New Roman" w:eastAsia="Times New Roman" w:hAnsi="Times New Roman" w:cs="Times New Roman"/>
          <w:sz w:val="24"/>
          <w:szCs w:val="24"/>
          <w:bdr w:val="nil"/>
          <w:lang w:val="sv-SE"/>
        </w:rPr>
        <w:t>lisk-lutherska kyrkan i Finland</w:t>
      </w:r>
      <w:r>
        <w:rPr>
          <w:rFonts w:ascii="Times New Roman" w:eastAsia="Times New Roman" w:hAnsi="Times New Roman" w:cs="Times New Roman"/>
          <w:sz w:val="24"/>
          <w:szCs w:val="24"/>
          <w:bdr w:val="nil"/>
          <w:lang w:val="sv-SE"/>
        </w:rPr>
        <w:t xml:space="preserve"> </w:t>
      </w:r>
    </w:p>
    <w:p w:rsidR="00E94677" w:rsidRPr="00A13D17" w:rsidRDefault="00674637" w:rsidP="00E94677">
      <w:pPr>
        <w:ind w:left="720"/>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b. förtydliga bestämmelserna om nattvardsfiran</w:t>
      </w:r>
      <w:r w:rsidR="00831C1F">
        <w:rPr>
          <w:rFonts w:ascii="Times New Roman" w:eastAsia="Times New Roman" w:hAnsi="Times New Roman" w:cs="Times New Roman"/>
          <w:sz w:val="24"/>
          <w:szCs w:val="24"/>
          <w:bdr w:val="nil"/>
          <w:lang w:val="sv-SE"/>
        </w:rPr>
        <w:t>det och utdelningen av nattvard</w:t>
      </w:r>
      <w:r>
        <w:rPr>
          <w:rFonts w:ascii="Times New Roman" w:eastAsia="Times New Roman" w:hAnsi="Times New Roman" w:cs="Times New Roman"/>
          <w:sz w:val="24"/>
          <w:szCs w:val="24"/>
          <w:bdr w:val="nil"/>
          <w:lang w:val="sv-SE"/>
        </w:rPr>
        <w:t xml:space="preserve"> </w:t>
      </w:r>
    </w:p>
    <w:p w:rsidR="00E94677" w:rsidRPr="00A13D17" w:rsidRDefault="00674637" w:rsidP="00E94677">
      <w:pPr>
        <w:ind w:left="720"/>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c. kalla präster och pastorer från andra kyrkosamfund att predika vid församlingarnas gudstjänster inom Evangelisk-lutherska kyrkan i Finland.</w:t>
      </w:r>
    </w:p>
    <w:p w:rsidR="00E94677" w:rsidRPr="00B53E22" w:rsidRDefault="00674637" w:rsidP="00E94677">
      <w:p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 xml:space="preserve">Arbetsgruppens </w:t>
      </w:r>
      <w:r>
        <w:rPr>
          <w:rFonts w:ascii="Times New Roman" w:eastAsia="Times New Roman" w:hAnsi="Times New Roman" w:cs="Times New Roman"/>
          <w:i/>
          <w:iCs/>
          <w:sz w:val="24"/>
          <w:szCs w:val="24"/>
          <w:bdr w:val="nil"/>
          <w:lang w:val="sv-SE"/>
        </w:rPr>
        <w:t xml:space="preserve">utredning om möjligheterna för medlemmar av andra kyrkor att delta i nattvarden och predika i Evangelisk-lutherska kyrkan i Finland </w:t>
      </w:r>
      <w:r>
        <w:rPr>
          <w:rFonts w:ascii="Times New Roman" w:eastAsia="Times New Roman" w:hAnsi="Times New Roman" w:cs="Times New Roman"/>
          <w:sz w:val="24"/>
          <w:szCs w:val="24"/>
          <w:bdr w:val="nil"/>
          <w:lang w:val="sv-SE"/>
        </w:rPr>
        <w:t xml:space="preserve">lämnades till biskopsmötet 22.3.2016. I utredningen ingick en bedömning av prediko- och nattvardsgästvänlighetens ekumeniska konsekvenser, för vilken de ekumeniska samarbetskyrkorna konsulterades. (Utredningen finns att läsa (på finska) på biskopsmötets webbsidor på adressen </w:t>
      </w:r>
      <w:hyperlink r:id="rId5" w:history="1">
        <w:r>
          <w:rPr>
            <w:rFonts w:ascii="Times New Roman" w:eastAsia="Times New Roman" w:hAnsi="Times New Roman" w:cs="Times New Roman"/>
            <w:color w:val="0563C1"/>
            <w:sz w:val="24"/>
            <w:szCs w:val="24"/>
            <w:u w:val="single"/>
            <w:bdr w:val="nil"/>
            <w:lang w:val="sv-SE"/>
          </w:rPr>
          <w:t>sakasti.evl.fi/</w:t>
        </w:r>
        <w:proofErr w:type="spellStart"/>
        <w:r>
          <w:rPr>
            <w:rFonts w:ascii="Times New Roman" w:eastAsia="Times New Roman" w:hAnsi="Times New Roman" w:cs="Times New Roman"/>
            <w:color w:val="0563C1"/>
            <w:sz w:val="24"/>
            <w:szCs w:val="24"/>
            <w:u w:val="single"/>
            <w:bdr w:val="nil"/>
            <w:lang w:val="sv-SE"/>
          </w:rPr>
          <w:t>piispainkokous</w:t>
        </w:r>
        <w:proofErr w:type="spellEnd"/>
      </w:hyperlink>
      <w:r>
        <w:rPr>
          <w:rFonts w:ascii="Times New Roman" w:eastAsia="Times New Roman" w:hAnsi="Times New Roman" w:cs="Times New Roman"/>
          <w:sz w:val="24"/>
          <w:szCs w:val="24"/>
          <w:bdr w:val="nil"/>
          <w:lang w:val="sv-SE"/>
        </w:rPr>
        <w:t>.)</w:t>
      </w:r>
    </w:p>
    <w:p w:rsidR="00E94677" w:rsidRPr="00A13D17" w:rsidRDefault="00674637" w:rsidP="00E94677">
      <w:p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 xml:space="preserve">Biskopsmötet beslutade i samband med att frågan behandlades 5.4.2016 att Borgå domkapitels förslag gällande predikogästvänlighet kan genomföras så att kyrkoherden genom en ändring i kyrkoordningen ges rätt att kalla en präst från någon annan kristen kyrka eller ett därmed jämställt samfund att predika vid gudstjänsten. Eftersom de frågor som lyfts fram i Borgå domkapitels initiativ gällande nattvardsgästvänlighet och predikogästvänlighet teologiskt och kyrkorättsligt sett är två separata frågor beslutades det i samband med den fortsatta behandlingen att två separata framställningar </w:t>
      </w:r>
      <w:r w:rsidR="00831C1F">
        <w:rPr>
          <w:rFonts w:ascii="Times New Roman" w:eastAsia="Times New Roman" w:hAnsi="Times New Roman" w:cs="Times New Roman"/>
          <w:sz w:val="24"/>
          <w:szCs w:val="24"/>
          <w:bdr w:val="nil"/>
          <w:lang w:val="sv-SE"/>
        </w:rPr>
        <w:t xml:space="preserve">läggs fram för </w:t>
      </w:r>
      <w:r>
        <w:rPr>
          <w:rFonts w:ascii="Times New Roman" w:eastAsia="Times New Roman" w:hAnsi="Times New Roman" w:cs="Times New Roman"/>
          <w:sz w:val="24"/>
          <w:szCs w:val="24"/>
          <w:bdr w:val="nil"/>
          <w:lang w:val="sv-SE"/>
        </w:rPr>
        <w:t>kyrkomötet.</w:t>
      </w:r>
    </w:p>
    <w:p w:rsidR="00E94677" w:rsidRPr="00A13D17" w:rsidRDefault="00674637" w:rsidP="00E94677">
      <w:pPr>
        <w:jc w:val="both"/>
        <w:rPr>
          <w:rFonts w:ascii="Times New Roman" w:hAnsi="Times New Roman" w:cs="Times New Roman"/>
          <w:b/>
          <w:sz w:val="24"/>
          <w:szCs w:val="24"/>
          <w:lang w:val="sv-SE"/>
        </w:rPr>
      </w:pPr>
      <w:r>
        <w:rPr>
          <w:rFonts w:ascii="Times New Roman" w:eastAsia="Times New Roman" w:hAnsi="Times New Roman" w:cs="Times New Roman"/>
          <w:b/>
          <w:bCs/>
          <w:sz w:val="24"/>
          <w:szCs w:val="24"/>
          <w:bdr w:val="nil"/>
          <w:lang w:val="sv-SE"/>
        </w:rPr>
        <w:t>6. Samband med andra framställningar</w:t>
      </w:r>
    </w:p>
    <w:p w:rsidR="00E94677" w:rsidRPr="00A13D17" w:rsidRDefault="00674637" w:rsidP="00E94677">
      <w:p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 xml:space="preserve">Framställningen har inget samband med andra framställningar. </w:t>
      </w:r>
    </w:p>
    <w:p w:rsidR="00E94677" w:rsidRPr="00A13D17" w:rsidRDefault="00674637" w:rsidP="00E94677">
      <w:p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 xml:space="preserve">Kodifieringen av kyrkolagen, som bereds </w:t>
      </w:r>
      <w:r w:rsidR="00831C1F">
        <w:rPr>
          <w:rFonts w:ascii="Times New Roman" w:eastAsia="Times New Roman" w:hAnsi="Times New Roman" w:cs="Times New Roman"/>
          <w:sz w:val="24"/>
          <w:szCs w:val="24"/>
          <w:bdr w:val="nil"/>
          <w:lang w:val="sv-SE"/>
        </w:rPr>
        <w:t>hos</w:t>
      </w:r>
      <w:r>
        <w:rPr>
          <w:rFonts w:ascii="Times New Roman" w:eastAsia="Times New Roman" w:hAnsi="Times New Roman" w:cs="Times New Roman"/>
          <w:sz w:val="24"/>
          <w:szCs w:val="24"/>
          <w:bdr w:val="nil"/>
          <w:lang w:val="sv-SE"/>
        </w:rPr>
        <w:t xml:space="preserve"> Kyrkostyrelsen, har be</w:t>
      </w:r>
      <w:r w:rsidR="00831C1F">
        <w:rPr>
          <w:rFonts w:ascii="Times New Roman" w:eastAsia="Times New Roman" w:hAnsi="Times New Roman" w:cs="Times New Roman"/>
          <w:sz w:val="24"/>
          <w:szCs w:val="24"/>
          <w:bdr w:val="nil"/>
          <w:lang w:val="sv-SE"/>
        </w:rPr>
        <w:t>aktats så att formuleringen i 2 </w:t>
      </w:r>
      <w:r>
        <w:rPr>
          <w:rFonts w:ascii="Times New Roman" w:eastAsia="Times New Roman" w:hAnsi="Times New Roman" w:cs="Times New Roman"/>
          <w:sz w:val="24"/>
          <w:szCs w:val="24"/>
          <w:bdr w:val="nil"/>
          <w:lang w:val="sv-SE"/>
        </w:rPr>
        <w:t xml:space="preserve">kap. 6 § 3 mom. i kyrkoordningen följer den ordalydelse som den arbetsgrupp för kodifiering av </w:t>
      </w:r>
      <w:r>
        <w:rPr>
          <w:rFonts w:ascii="Times New Roman" w:eastAsia="Times New Roman" w:hAnsi="Times New Roman" w:cs="Times New Roman"/>
          <w:sz w:val="24"/>
          <w:szCs w:val="24"/>
          <w:bdr w:val="nil"/>
          <w:lang w:val="sv-SE"/>
        </w:rPr>
        <w:lastRenderedPageBreak/>
        <w:t>kyrkolagstiftningen som tillsatts av Kyrkostyrelsen föreslagit i motsvarande paragraf, sådan den lydde vid behandlingen i Kyrkostyrelsens plenum 22.3.2016.</w:t>
      </w:r>
    </w:p>
    <w:p w:rsidR="00E94677" w:rsidRPr="00A13D17" w:rsidRDefault="00674637" w:rsidP="00E94677">
      <w:p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 xml:space="preserve">Administrativt sett bygger framställningen på samma Borgå domkapitels initiativ till biskopsmötet, daterat 14.1.2015, som </w:t>
      </w:r>
      <w:r>
        <w:rPr>
          <w:rFonts w:ascii="Times New Roman" w:eastAsia="Times New Roman" w:hAnsi="Times New Roman" w:cs="Times New Roman"/>
          <w:i/>
          <w:iCs/>
          <w:sz w:val="24"/>
          <w:szCs w:val="24"/>
          <w:bdr w:val="nil"/>
          <w:lang w:val="sv-SE"/>
        </w:rPr>
        <w:t>Biskopsmötets framställning 2/2016 till kyrkomötet:</w:t>
      </w:r>
      <w:r>
        <w:rPr>
          <w:rFonts w:ascii="Times New Roman" w:eastAsia="Times New Roman" w:hAnsi="Times New Roman" w:cs="Times New Roman"/>
          <w:sz w:val="24"/>
          <w:szCs w:val="24"/>
          <w:bdr w:val="nil"/>
          <w:lang w:val="sv-SE"/>
        </w:rPr>
        <w:t xml:space="preserve"> </w:t>
      </w:r>
      <w:r>
        <w:rPr>
          <w:rFonts w:ascii="Times New Roman" w:eastAsia="Times New Roman" w:hAnsi="Times New Roman" w:cs="Times New Roman"/>
          <w:i/>
          <w:iCs/>
          <w:sz w:val="24"/>
          <w:szCs w:val="24"/>
          <w:bdr w:val="nil"/>
          <w:lang w:val="sv-SE"/>
        </w:rPr>
        <w:t>Komplettering av kyrkoordningens 2 kapitel med en bestämmelse om rätt för medlemmar av en annan kristen kyrka att delta i nattvarden</w:t>
      </w:r>
      <w:r>
        <w:rPr>
          <w:rFonts w:ascii="Times New Roman" w:eastAsia="Times New Roman" w:hAnsi="Times New Roman" w:cs="Times New Roman"/>
          <w:sz w:val="24"/>
          <w:szCs w:val="24"/>
          <w:bdr w:val="nil"/>
          <w:lang w:val="sv-SE"/>
        </w:rPr>
        <w:t>.</w:t>
      </w:r>
    </w:p>
    <w:p w:rsidR="00E94677" w:rsidRPr="00A13D17" w:rsidRDefault="00674637" w:rsidP="00E94677">
      <w:pPr>
        <w:jc w:val="both"/>
        <w:rPr>
          <w:rFonts w:ascii="Times New Roman" w:hAnsi="Times New Roman" w:cs="Times New Roman"/>
          <w:b/>
          <w:sz w:val="24"/>
          <w:szCs w:val="24"/>
          <w:lang w:val="sv-SE"/>
        </w:rPr>
      </w:pPr>
      <w:r>
        <w:rPr>
          <w:rFonts w:ascii="Times New Roman" w:eastAsia="Times New Roman" w:hAnsi="Times New Roman" w:cs="Times New Roman"/>
          <w:b/>
          <w:bCs/>
          <w:sz w:val="24"/>
          <w:szCs w:val="24"/>
          <w:bdr w:val="nil"/>
          <w:lang w:val="sv-SE"/>
        </w:rPr>
        <w:t xml:space="preserve">DETALJMOTIVERING </w:t>
      </w:r>
    </w:p>
    <w:p w:rsidR="00C80B1F" w:rsidRPr="00A13D17" w:rsidRDefault="00674637" w:rsidP="00E94677">
      <w:p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Med stöd av 2 kap. 6 § 3 mom. i kyrkoordningen kan kyrkoherden i enskilda fall kalla en sådan medlem av kyrkan som är konfirmerad och känd för sin kristna övertygelse att predika vid gudstjänsten. Med kyrkan avses i detta sammanhang Evangelisk-lutherska kyrkan i Finland.</w:t>
      </w:r>
    </w:p>
    <w:p w:rsidR="00C01F36" w:rsidRPr="00A13D17" w:rsidRDefault="00674637" w:rsidP="00E94677">
      <w:p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 xml:space="preserve">I den föreslagna formuleringen ges kyrkoherden utöver ovanstående även rätt att kalla </w:t>
      </w:r>
      <w:r w:rsidR="0011260F">
        <w:rPr>
          <w:rFonts w:ascii="Times New Roman" w:eastAsia="Times New Roman" w:hAnsi="Times New Roman" w:cs="Times New Roman"/>
          <w:sz w:val="24"/>
          <w:szCs w:val="24"/>
          <w:bdr w:val="nil"/>
          <w:lang w:val="sv-SE"/>
        </w:rPr>
        <w:t>”</w:t>
      </w:r>
      <w:r>
        <w:rPr>
          <w:rFonts w:ascii="Times New Roman" w:eastAsia="Times New Roman" w:hAnsi="Times New Roman" w:cs="Times New Roman"/>
          <w:sz w:val="24"/>
          <w:szCs w:val="24"/>
          <w:bdr w:val="nil"/>
          <w:lang w:val="sv-SE"/>
        </w:rPr>
        <w:t>en präst från någon annan kristen kyrka eller ett därmed jämställt samfund</w:t>
      </w:r>
      <w:r w:rsidR="0011260F">
        <w:rPr>
          <w:rFonts w:ascii="Times New Roman" w:eastAsia="Times New Roman" w:hAnsi="Times New Roman" w:cs="Times New Roman"/>
          <w:sz w:val="24"/>
          <w:szCs w:val="24"/>
          <w:bdr w:val="nil"/>
          <w:lang w:val="sv-SE"/>
        </w:rPr>
        <w:t>”</w:t>
      </w:r>
      <w:r>
        <w:rPr>
          <w:rFonts w:ascii="Times New Roman" w:eastAsia="Times New Roman" w:hAnsi="Times New Roman" w:cs="Times New Roman"/>
          <w:sz w:val="24"/>
          <w:szCs w:val="24"/>
          <w:bdr w:val="nil"/>
          <w:lang w:val="sv-SE"/>
        </w:rPr>
        <w:t xml:space="preserve"> att predika vid gudstjänsten. </w:t>
      </w:r>
    </w:p>
    <w:p w:rsidR="00C01F36" w:rsidRPr="00A13D17" w:rsidRDefault="00674637" w:rsidP="00E94677">
      <w:p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 xml:space="preserve">Uttrycket </w:t>
      </w:r>
      <w:r w:rsidR="0011260F">
        <w:rPr>
          <w:rFonts w:ascii="Times New Roman" w:eastAsia="Times New Roman" w:hAnsi="Times New Roman" w:cs="Times New Roman"/>
          <w:sz w:val="24"/>
          <w:szCs w:val="24"/>
          <w:bdr w:val="nil"/>
          <w:lang w:val="sv-SE"/>
        </w:rPr>
        <w:t>”</w:t>
      </w:r>
      <w:r>
        <w:rPr>
          <w:rFonts w:ascii="Times New Roman" w:eastAsia="Times New Roman" w:hAnsi="Times New Roman" w:cs="Times New Roman"/>
          <w:sz w:val="24"/>
          <w:szCs w:val="24"/>
          <w:bdr w:val="nil"/>
          <w:lang w:val="sv-SE"/>
        </w:rPr>
        <w:t>präst från någon annan kristen kyrka eller ett därmed jämställt samfund</w:t>
      </w:r>
      <w:r w:rsidR="0011260F">
        <w:rPr>
          <w:rFonts w:ascii="Times New Roman" w:eastAsia="Times New Roman" w:hAnsi="Times New Roman" w:cs="Times New Roman"/>
          <w:sz w:val="24"/>
          <w:szCs w:val="24"/>
          <w:bdr w:val="nil"/>
          <w:lang w:val="sv-SE"/>
        </w:rPr>
        <w:t>”</w:t>
      </w:r>
      <w:r>
        <w:rPr>
          <w:rFonts w:ascii="Times New Roman" w:eastAsia="Times New Roman" w:hAnsi="Times New Roman" w:cs="Times New Roman"/>
          <w:sz w:val="24"/>
          <w:szCs w:val="24"/>
          <w:bdr w:val="nil"/>
          <w:lang w:val="sv-SE"/>
        </w:rPr>
        <w:t xml:space="preserve"> har samma ordalydelse som 2 kap. 22 § 2 mom. i kyrkoordningen. Med kristen kyrka eller ett därmed jämställt samfund avses ett samfund som uppfyller det kriterium som används inom den ekumeniska rörelsen: som kristna betraktas sådana samfund som bekänner Herren Jesus som Gud och Frälsare enligt Bibeln och därför tillsammans strävar efter att fullgöra sin gemensamma kallelse en enda Gud, Fader, Son och helig Ande till ära. I praktiken innefattar uttrycket också de kyrkor vilkas präster redan nu har rätt att predika vid gudstjänsten enligt 2 kap. 27 § i kyrkoordningen och de beslut av biskopsmötet som grundar sig på denna (KF 86, 111).</w:t>
      </w:r>
    </w:p>
    <w:p w:rsidR="00E94677" w:rsidRPr="00A13D17" w:rsidRDefault="00674637" w:rsidP="00E94677">
      <w:p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Med präst avses en person i ett andligt ämbete i ett kristet samfund enligt denna definition som har rätt att predika och förvalta sakramenten i sitt eget samfund. I praktiken kan en sådan person i olika samfund ha många olika titlar.</w:t>
      </w:r>
    </w:p>
    <w:p w:rsidR="00E94677" w:rsidRPr="00A13D17" w:rsidRDefault="00674637" w:rsidP="00E94677">
      <w:p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 xml:space="preserve">Kyrkoherdens samtycke, tillstånd eller kallelse förutsätts redan i den gällande kyrkolagstiftningen alltid då någon annan än den som sköter prästämbetet i församlingen predikar i gudstjänsten. Denna befogenhet som getts kyrkoherden följer av 6 kap. 13 § 1 mom. i kyrkoordningen, enligt vilket kyrkoherden </w:t>
      </w:r>
      <w:r w:rsidR="0011260F">
        <w:rPr>
          <w:rFonts w:ascii="Times New Roman" w:eastAsia="Times New Roman" w:hAnsi="Times New Roman" w:cs="Times New Roman"/>
          <w:sz w:val="24"/>
          <w:szCs w:val="24"/>
          <w:bdr w:val="nil"/>
          <w:lang w:val="sv-SE"/>
        </w:rPr>
        <w:t>”</w:t>
      </w:r>
      <w:r>
        <w:rPr>
          <w:rFonts w:ascii="Times New Roman" w:eastAsia="Times New Roman" w:hAnsi="Times New Roman" w:cs="Times New Roman"/>
          <w:sz w:val="24"/>
          <w:szCs w:val="24"/>
          <w:bdr w:val="nil"/>
          <w:lang w:val="sv-SE"/>
        </w:rPr>
        <w:t>svarar för att gudstjänsten, de heliga sakramenten, de kyrkliga förrättningarna och förkunnelsen sköts på rätt sätt</w:t>
      </w:r>
      <w:r w:rsidR="0011260F">
        <w:rPr>
          <w:rFonts w:ascii="Times New Roman" w:eastAsia="Times New Roman" w:hAnsi="Times New Roman" w:cs="Times New Roman"/>
          <w:sz w:val="24"/>
          <w:szCs w:val="24"/>
          <w:bdr w:val="nil"/>
          <w:lang w:val="sv-SE"/>
        </w:rPr>
        <w:t>”</w:t>
      </w:r>
      <w:r>
        <w:rPr>
          <w:rFonts w:ascii="Times New Roman" w:eastAsia="Times New Roman" w:hAnsi="Times New Roman" w:cs="Times New Roman"/>
          <w:sz w:val="24"/>
          <w:szCs w:val="24"/>
          <w:bdr w:val="nil"/>
          <w:lang w:val="sv-SE"/>
        </w:rPr>
        <w:t xml:space="preserve">. </w:t>
      </w:r>
    </w:p>
    <w:p w:rsidR="00E94677" w:rsidRPr="00A13D17" w:rsidRDefault="00674637" w:rsidP="00E94677">
      <w:p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 xml:space="preserve">Enligt 2 kap. 4 § i kyrkoordningen ska predikan vara </w:t>
      </w:r>
      <w:r w:rsidR="0011260F">
        <w:rPr>
          <w:rFonts w:ascii="Times New Roman" w:eastAsia="Times New Roman" w:hAnsi="Times New Roman" w:cs="Times New Roman"/>
          <w:sz w:val="24"/>
          <w:szCs w:val="24"/>
          <w:bdr w:val="nil"/>
          <w:lang w:val="sv-SE"/>
        </w:rPr>
        <w:t>”</w:t>
      </w:r>
      <w:r>
        <w:rPr>
          <w:rFonts w:ascii="Times New Roman" w:eastAsia="Times New Roman" w:hAnsi="Times New Roman" w:cs="Times New Roman"/>
          <w:sz w:val="24"/>
          <w:szCs w:val="24"/>
          <w:bdr w:val="nil"/>
          <w:lang w:val="sv-SE"/>
        </w:rPr>
        <w:t>överensstämmande med kyrkans bekännelse</w:t>
      </w:r>
      <w:r w:rsidR="0011260F">
        <w:rPr>
          <w:rFonts w:ascii="Times New Roman" w:eastAsia="Times New Roman" w:hAnsi="Times New Roman" w:cs="Times New Roman"/>
          <w:sz w:val="24"/>
          <w:szCs w:val="24"/>
          <w:bdr w:val="nil"/>
          <w:lang w:val="sv-SE"/>
        </w:rPr>
        <w:t>”</w:t>
      </w:r>
      <w:r>
        <w:rPr>
          <w:rFonts w:ascii="Times New Roman" w:eastAsia="Times New Roman" w:hAnsi="Times New Roman" w:cs="Times New Roman"/>
          <w:sz w:val="24"/>
          <w:szCs w:val="24"/>
          <w:bdr w:val="nil"/>
          <w:lang w:val="sv-SE"/>
        </w:rPr>
        <w:t>. Detta innebär att en kyrkoherde som kallar en präst från en annan kyrka att predika ska säkerställa att prästen i fråga är förtrogen med de krav som ställs på predikan i kyrkoordningen och den lutherska gudstjänstuppfattningen.</w:t>
      </w:r>
    </w:p>
    <w:p w:rsidR="00E94677" w:rsidRPr="00A13D17" w:rsidRDefault="00674637" w:rsidP="00E94677">
      <w:pPr>
        <w:jc w:val="both"/>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Ändringen i kyrkoordningen föreslås träda i kraft så snart som möjligt efter att den godkänts.</w:t>
      </w:r>
    </w:p>
    <w:p w:rsidR="005C4BFA" w:rsidRPr="00A13D17" w:rsidRDefault="00674637">
      <w:pPr>
        <w:rPr>
          <w:rFonts w:ascii="Times New Roman" w:hAnsi="Times New Roman" w:cs="Times New Roman"/>
          <w:sz w:val="24"/>
          <w:szCs w:val="24"/>
          <w:lang w:val="sv-SE"/>
        </w:rPr>
      </w:pPr>
      <w:r w:rsidRPr="00A13D17">
        <w:rPr>
          <w:rFonts w:ascii="Times New Roman" w:hAnsi="Times New Roman" w:cs="Times New Roman"/>
          <w:sz w:val="24"/>
          <w:szCs w:val="24"/>
          <w:lang w:val="sv-SE"/>
        </w:rPr>
        <w:br w:type="page"/>
      </w:r>
    </w:p>
    <w:p w:rsidR="000D54BA" w:rsidRPr="00A13D17" w:rsidRDefault="00674637" w:rsidP="00E72C80">
      <w:pPr>
        <w:ind w:left="6520" w:firstLine="1304"/>
        <w:rPr>
          <w:rFonts w:ascii="Times New Roman" w:hAnsi="Times New Roman" w:cs="Times New Roman"/>
          <w:i/>
          <w:sz w:val="24"/>
          <w:szCs w:val="24"/>
          <w:lang w:val="sv-SE"/>
        </w:rPr>
      </w:pPr>
      <w:r>
        <w:rPr>
          <w:rFonts w:ascii="Times New Roman" w:eastAsia="Times New Roman" w:hAnsi="Times New Roman" w:cs="Times New Roman"/>
          <w:i/>
          <w:iCs/>
          <w:sz w:val="24"/>
          <w:szCs w:val="24"/>
          <w:bdr w:val="nil"/>
          <w:lang w:val="sv-SE"/>
        </w:rPr>
        <w:lastRenderedPageBreak/>
        <w:t>Lagförslag</w:t>
      </w:r>
    </w:p>
    <w:p w:rsidR="000D54BA" w:rsidRPr="00A13D17" w:rsidRDefault="003502AA" w:rsidP="000D54BA">
      <w:pPr>
        <w:rPr>
          <w:rFonts w:ascii="Times New Roman" w:hAnsi="Times New Roman" w:cs="Times New Roman"/>
          <w:b/>
          <w:sz w:val="24"/>
          <w:szCs w:val="24"/>
          <w:lang w:val="sv-SE"/>
        </w:rPr>
      </w:pPr>
    </w:p>
    <w:p w:rsidR="00835263" w:rsidRDefault="00674637" w:rsidP="00835263">
      <w:pPr>
        <w:spacing w:after="0" w:line="240" w:lineRule="auto"/>
        <w:jc w:val="center"/>
        <w:rPr>
          <w:rFonts w:ascii="Times New Roman" w:eastAsia="Times New Roman" w:hAnsi="Times New Roman" w:cs="Times New Roman"/>
          <w:b/>
          <w:bCs/>
          <w:sz w:val="24"/>
          <w:szCs w:val="24"/>
          <w:bdr w:val="nil"/>
          <w:lang w:val="sv-SE"/>
        </w:rPr>
      </w:pPr>
      <w:r>
        <w:rPr>
          <w:rFonts w:ascii="Times New Roman" w:eastAsia="Times New Roman" w:hAnsi="Times New Roman" w:cs="Times New Roman"/>
          <w:b/>
          <w:bCs/>
          <w:sz w:val="24"/>
          <w:szCs w:val="24"/>
          <w:bdr w:val="nil"/>
          <w:lang w:val="sv-SE"/>
        </w:rPr>
        <w:t>Kyrkomötets beslut</w:t>
      </w:r>
    </w:p>
    <w:p w:rsidR="00E94677" w:rsidRDefault="00674637" w:rsidP="00835263">
      <w:pPr>
        <w:spacing w:after="0" w:line="240" w:lineRule="auto"/>
        <w:jc w:val="center"/>
        <w:rPr>
          <w:rFonts w:ascii="Times New Roman" w:eastAsia="Times New Roman" w:hAnsi="Times New Roman" w:cs="Times New Roman"/>
          <w:b/>
          <w:bCs/>
          <w:sz w:val="24"/>
          <w:szCs w:val="24"/>
          <w:bdr w:val="nil"/>
          <w:lang w:val="sv-SE"/>
        </w:rPr>
      </w:pPr>
      <w:r>
        <w:rPr>
          <w:rFonts w:ascii="Times New Roman" w:eastAsia="Times New Roman" w:hAnsi="Times New Roman" w:cs="Times New Roman"/>
          <w:b/>
          <w:bCs/>
          <w:sz w:val="24"/>
          <w:szCs w:val="24"/>
          <w:bdr w:val="nil"/>
          <w:lang w:val="sv-SE"/>
        </w:rPr>
        <w:t>om ändring av 2 kap. 6 § i kyrkoordningen</w:t>
      </w:r>
    </w:p>
    <w:p w:rsidR="00835263" w:rsidRPr="00A13D17" w:rsidRDefault="00835263" w:rsidP="00835263">
      <w:pPr>
        <w:spacing w:after="0" w:line="240" w:lineRule="auto"/>
        <w:jc w:val="center"/>
        <w:rPr>
          <w:rFonts w:ascii="Times New Roman" w:hAnsi="Times New Roman" w:cs="Times New Roman"/>
          <w:b/>
          <w:sz w:val="24"/>
          <w:szCs w:val="24"/>
          <w:lang w:val="sv-SE"/>
        </w:rPr>
      </w:pPr>
    </w:p>
    <w:p w:rsidR="00764300" w:rsidRPr="00A13D17" w:rsidRDefault="003502AA" w:rsidP="00E94677">
      <w:pPr>
        <w:spacing w:after="0" w:line="240" w:lineRule="auto"/>
        <w:rPr>
          <w:rFonts w:ascii="Times New Roman" w:hAnsi="Times New Roman" w:cs="Times New Roman"/>
          <w:sz w:val="24"/>
          <w:szCs w:val="24"/>
          <w:lang w:val="sv-SE"/>
        </w:rPr>
      </w:pPr>
    </w:p>
    <w:p w:rsidR="00E94677" w:rsidRPr="00A13D17" w:rsidRDefault="00674637" w:rsidP="00835263">
      <w:pPr>
        <w:spacing w:after="0" w:line="240" w:lineRule="auto"/>
        <w:ind w:left="284"/>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I enlighet med kyrkomötets beslut</w:t>
      </w:r>
    </w:p>
    <w:p w:rsidR="00E94677" w:rsidRPr="00A13D17" w:rsidRDefault="00674637" w:rsidP="00835263">
      <w:pPr>
        <w:spacing w:after="0" w:line="240" w:lineRule="auto"/>
        <w:ind w:firstLine="284"/>
        <w:rPr>
          <w:rFonts w:ascii="Times New Roman" w:hAnsi="Times New Roman" w:cs="Times New Roman"/>
          <w:sz w:val="24"/>
          <w:szCs w:val="24"/>
          <w:lang w:val="sv-SE"/>
        </w:rPr>
      </w:pPr>
      <w:r>
        <w:rPr>
          <w:rFonts w:ascii="Times New Roman" w:eastAsia="Times New Roman" w:hAnsi="Times New Roman" w:cs="Times New Roman"/>
          <w:i/>
          <w:iCs/>
          <w:sz w:val="24"/>
          <w:szCs w:val="24"/>
          <w:bdr w:val="nil"/>
          <w:lang w:val="sv-SE"/>
        </w:rPr>
        <w:t xml:space="preserve">ändras </w:t>
      </w:r>
      <w:r>
        <w:rPr>
          <w:rFonts w:ascii="Times New Roman" w:eastAsia="Times New Roman" w:hAnsi="Times New Roman" w:cs="Times New Roman"/>
          <w:sz w:val="24"/>
          <w:szCs w:val="24"/>
          <w:bdr w:val="nil"/>
          <w:lang w:val="sv-SE"/>
        </w:rPr>
        <w:t>2 kap. 6 § 3 mom. i kyrkoordningen (1055/1993), sådant det lyder i kyrkomötets beslut 1234/1999, som följer:</w:t>
      </w:r>
    </w:p>
    <w:p w:rsidR="00E94677" w:rsidRPr="00A13D17" w:rsidRDefault="003502AA" w:rsidP="00E94677">
      <w:pPr>
        <w:spacing w:after="0" w:line="240" w:lineRule="auto"/>
        <w:rPr>
          <w:rFonts w:ascii="Times New Roman" w:hAnsi="Times New Roman" w:cs="Times New Roman"/>
          <w:sz w:val="24"/>
          <w:szCs w:val="24"/>
          <w:lang w:val="sv-SE"/>
        </w:rPr>
      </w:pPr>
    </w:p>
    <w:p w:rsidR="00E94677" w:rsidRPr="00A13D17" w:rsidRDefault="00674637" w:rsidP="00E94677">
      <w:pPr>
        <w:spacing w:after="0" w:line="240" w:lineRule="auto"/>
        <w:jc w:val="center"/>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2 kap.</w:t>
      </w:r>
    </w:p>
    <w:p w:rsidR="00E94677" w:rsidRPr="00A13D17" w:rsidRDefault="003502AA" w:rsidP="00E94677">
      <w:pPr>
        <w:spacing w:after="0" w:line="240" w:lineRule="auto"/>
        <w:jc w:val="center"/>
        <w:rPr>
          <w:rFonts w:ascii="Times New Roman" w:hAnsi="Times New Roman" w:cs="Times New Roman"/>
          <w:sz w:val="24"/>
          <w:szCs w:val="24"/>
          <w:lang w:val="sv-SE"/>
        </w:rPr>
      </w:pPr>
    </w:p>
    <w:p w:rsidR="00E94677" w:rsidRPr="00A13D17" w:rsidRDefault="00674637" w:rsidP="00E94677">
      <w:pPr>
        <w:spacing w:after="0" w:line="240" w:lineRule="auto"/>
        <w:jc w:val="center"/>
        <w:rPr>
          <w:rFonts w:ascii="Times New Roman" w:hAnsi="Times New Roman" w:cs="Times New Roman"/>
          <w:b/>
          <w:sz w:val="24"/>
          <w:szCs w:val="24"/>
          <w:lang w:val="sv-SE"/>
        </w:rPr>
      </w:pPr>
      <w:r>
        <w:rPr>
          <w:rFonts w:ascii="Times New Roman" w:eastAsia="Times New Roman" w:hAnsi="Times New Roman" w:cs="Times New Roman"/>
          <w:b/>
          <w:bCs/>
          <w:sz w:val="24"/>
          <w:szCs w:val="24"/>
          <w:bdr w:val="nil"/>
          <w:lang w:val="sv-SE"/>
        </w:rPr>
        <w:t>Kyrkans heliga handlingar</w:t>
      </w:r>
    </w:p>
    <w:p w:rsidR="00E94677" w:rsidRPr="00A13D17" w:rsidRDefault="003502AA" w:rsidP="00E94677">
      <w:pPr>
        <w:spacing w:after="0" w:line="240" w:lineRule="auto"/>
        <w:jc w:val="center"/>
        <w:rPr>
          <w:rFonts w:ascii="Times New Roman" w:hAnsi="Times New Roman" w:cs="Times New Roman"/>
          <w:sz w:val="24"/>
          <w:szCs w:val="24"/>
          <w:highlight w:val="yellow"/>
          <w:lang w:val="sv-SE"/>
        </w:rPr>
      </w:pPr>
    </w:p>
    <w:p w:rsidR="00E94677" w:rsidRPr="00A13D17" w:rsidRDefault="00674637" w:rsidP="00E94677">
      <w:pPr>
        <w:spacing w:after="0" w:line="240" w:lineRule="auto"/>
        <w:jc w:val="center"/>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6 §</w:t>
      </w:r>
    </w:p>
    <w:p w:rsidR="00485FA5" w:rsidRPr="00A13D17" w:rsidRDefault="00674637" w:rsidP="00E94677">
      <w:pPr>
        <w:spacing w:after="0" w:line="240" w:lineRule="auto"/>
        <w:rPr>
          <w:rFonts w:ascii="Times New Roman" w:hAnsi="Times New Roman" w:cs="Times New Roman"/>
          <w:sz w:val="24"/>
          <w:szCs w:val="24"/>
          <w:lang w:val="sv-SE"/>
        </w:rPr>
      </w:pPr>
      <w:r w:rsidRPr="00A13D17">
        <w:rPr>
          <w:rFonts w:ascii="Times New Roman" w:hAnsi="Times New Roman" w:cs="Times New Roman"/>
          <w:sz w:val="24"/>
          <w:szCs w:val="24"/>
          <w:lang w:val="sv-SE"/>
        </w:rPr>
        <w:t xml:space="preserve">― ― ― ― ― ― ― ― ― ― ― ― ― ― ― ― ― ― ― ― ― ― ― ― ― ― ― ― ― ― </w:t>
      </w:r>
    </w:p>
    <w:p w:rsidR="00E94677" w:rsidRPr="00A13D17" w:rsidRDefault="00674637" w:rsidP="00835263">
      <w:pPr>
        <w:spacing w:after="0" w:line="240" w:lineRule="auto"/>
        <w:ind w:firstLine="284"/>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I enskilda fall kan kyrkoherden kalla en sådan medlem av kyrkan som är konfirmerad och känd för sin kristna övertygelse eller en präst från någon annan kristen kyrka eller ett därmed jämställt samfund att predika vid gudstjänsten.</w:t>
      </w:r>
    </w:p>
    <w:p w:rsidR="000D54BA" w:rsidRPr="00A13D17" w:rsidRDefault="003502AA" w:rsidP="00E94677">
      <w:pPr>
        <w:spacing w:after="0" w:line="240" w:lineRule="auto"/>
        <w:rPr>
          <w:rFonts w:ascii="Times New Roman" w:hAnsi="Times New Roman" w:cs="Times New Roman"/>
          <w:sz w:val="24"/>
          <w:szCs w:val="24"/>
          <w:lang w:val="sv-SE"/>
        </w:rPr>
      </w:pPr>
    </w:p>
    <w:p w:rsidR="00E72C80" w:rsidRPr="00A13D17" w:rsidRDefault="00674637" w:rsidP="000D54BA">
      <w:pPr>
        <w:rPr>
          <w:rFonts w:ascii="Times New Roman" w:hAnsi="Times New Roman" w:cs="Times New Roman"/>
          <w:sz w:val="24"/>
          <w:szCs w:val="24"/>
          <w:lang w:val="sv-SE"/>
        </w:rPr>
      </w:pPr>
      <w:r w:rsidRPr="00A13D17">
        <w:rPr>
          <w:rFonts w:ascii="Times New Roman" w:hAnsi="Times New Roman" w:cs="Times New Roman"/>
          <w:sz w:val="24"/>
          <w:szCs w:val="24"/>
          <w:lang w:val="sv-SE"/>
        </w:rPr>
        <w:t xml:space="preserve">                                                                     __________</w:t>
      </w:r>
    </w:p>
    <w:p w:rsidR="00E72C80" w:rsidRPr="00A13D17" w:rsidRDefault="003502AA" w:rsidP="000D54BA">
      <w:pPr>
        <w:rPr>
          <w:rFonts w:ascii="Times New Roman" w:hAnsi="Times New Roman" w:cs="Times New Roman"/>
          <w:sz w:val="24"/>
          <w:szCs w:val="24"/>
          <w:lang w:val="sv-SE"/>
        </w:rPr>
      </w:pPr>
    </w:p>
    <w:p w:rsidR="000D54BA" w:rsidRPr="00A13D17" w:rsidRDefault="00674637" w:rsidP="000D54BA">
      <w:pPr>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Detta beslut träder i kraft den        20  .</w:t>
      </w:r>
    </w:p>
    <w:p w:rsidR="000D54BA" w:rsidRPr="00A13D17" w:rsidRDefault="003502AA" w:rsidP="000D54BA">
      <w:pPr>
        <w:rPr>
          <w:rFonts w:ascii="Times New Roman" w:hAnsi="Times New Roman" w:cs="Times New Roman"/>
          <w:sz w:val="24"/>
          <w:szCs w:val="24"/>
          <w:lang w:val="sv-SE"/>
        </w:rPr>
      </w:pPr>
    </w:p>
    <w:p w:rsidR="005C4BFA" w:rsidRPr="00A13D17" w:rsidRDefault="003502AA" w:rsidP="000D54BA">
      <w:pPr>
        <w:rPr>
          <w:rFonts w:ascii="Times New Roman" w:hAnsi="Times New Roman" w:cs="Times New Roman"/>
          <w:sz w:val="24"/>
          <w:szCs w:val="24"/>
          <w:lang w:val="sv-SE"/>
        </w:rPr>
      </w:pPr>
    </w:p>
    <w:p w:rsidR="005C4BFA" w:rsidRPr="00A13D17" w:rsidRDefault="003502AA" w:rsidP="000D54BA">
      <w:pPr>
        <w:rPr>
          <w:rFonts w:ascii="Times New Roman" w:hAnsi="Times New Roman" w:cs="Times New Roman"/>
          <w:sz w:val="24"/>
          <w:szCs w:val="24"/>
          <w:lang w:val="sv-SE"/>
        </w:rPr>
      </w:pPr>
    </w:p>
    <w:p w:rsidR="000D54BA" w:rsidRPr="00A13D17" w:rsidRDefault="00674637" w:rsidP="000D54BA">
      <w:pPr>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Helsingfors den 13 oktober 2016</w:t>
      </w:r>
    </w:p>
    <w:p w:rsidR="000D54BA" w:rsidRPr="00A13D17" w:rsidRDefault="003502AA" w:rsidP="000D54BA">
      <w:pPr>
        <w:rPr>
          <w:rFonts w:ascii="Times New Roman" w:hAnsi="Times New Roman" w:cs="Times New Roman"/>
          <w:sz w:val="24"/>
          <w:szCs w:val="24"/>
          <w:lang w:val="sv-SE"/>
        </w:rPr>
      </w:pPr>
    </w:p>
    <w:p w:rsidR="000D54BA" w:rsidRPr="00A13D17" w:rsidRDefault="00674637" w:rsidP="000D54BA">
      <w:pPr>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Ärkebiskop Kari Mäkinen</w:t>
      </w:r>
    </w:p>
    <w:p w:rsidR="000D54BA" w:rsidRPr="00A13D17" w:rsidRDefault="003502AA" w:rsidP="000D54BA">
      <w:pPr>
        <w:rPr>
          <w:rFonts w:ascii="Times New Roman" w:hAnsi="Times New Roman" w:cs="Times New Roman"/>
          <w:sz w:val="24"/>
          <w:szCs w:val="24"/>
          <w:lang w:val="sv-SE"/>
        </w:rPr>
      </w:pPr>
      <w:bookmarkStart w:id="0" w:name="_GoBack"/>
      <w:bookmarkEnd w:id="0"/>
    </w:p>
    <w:p w:rsidR="000D54BA" w:rsidRPr="00A13D17" w:rsidRDefault="00674637" w:rsidP="000D54BA">
      <w:pPr>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Biskopsmötets generalsekreterare Jyri Komulainen</w:t>
      </w:r>
    </w:p>
    <w:p w:rsidR="000D54BA" w:rsidRPr="00A13D17" w:rsidRDefault="003502AA" w:rsidP="000D54BA">
      <w:pPr>
        <w:rPr>
          <w:rFonts w:ascii="Times New Roman" w:hAnsi="Times New Roman" w:cs="Times New Roman"/>
          <w:sz w:val="24"/>
          <w:szCs w:val="24"/>
          <w:lang w:val="sv-SE"/>
        </w:rPr>
      </w:pPr>
    </w:p>
    <w:p w:rsidR="000D54BA" w:rsidRPr="00A13D17" w:rsidRDefault="003502AA" w:rsidP="000D54BA">
      <w:pPr>
        <w:rPr>
          <w:rFonts w:ascii="Times New Roman" w:hAnsi="Times New Roman" w:cs="Times New Roman"/>
          <w:sz w:val="24"/>
          <w:szCs w:val="24"/>
          <w:lang w:val="sv-SE"/>
        </w:rPr>
      </w:pPr>
    </w:p>
    <w:p w:rsidR="005C4BFA" w:rsidRPr="00A13D17" w:rsidRDefault="00674637">
      <w:pPr>
        <w:rPr>
          <w:rFonts w:ascii="Times New Roman" w:hAnsi="Times New Roman" w:cs="Times New Roman"/>
          <w:b/>
          <w:sz w:val="24"/>
          <w:szCs w:val="24"/>
          <w:lang w:val="sv-SE"/>
        </w:rPr>
      </w:pPr>
      <w:r w:rsidRPr="00A13D17">
        <w:rPr>
          <w:rFonts w:ascii="Times New Roman" w:hAnsi="Times New Roman" w:cs="Times New Roman"/>
          <w:b/>
          <w:sz w:val="24"/>
          <w:szCs w:val="24"/>
          <w:lang w:val="sv-SE"/>
        </w:rPr>
        <w:br w:type="page"/>
      </w:r>
    </w:p>
    <w:p w:rsidR="00485FA5" w:rsidRPr="00A13D17" w:rsidRDefault="00674637" w:rsidP="00E94677">
      <w:pPr>
        <w:jc w:val="center"/>
        <w:rPr>
          <w:rFonts w:ascii="Times New Roman" w:hAnsi="Times New Roman" w:cs="Times New Roman"/>
          <w:i/>
          <w:sz w:val="24"/>
          <w:szCs w:val="24"/>
          <w:lang w:val="sv-SE"/>
        </w:rPr>
      </w:pPr>
      <w:r>
        <w:rPr>
          <w:rFonts w:ascii="Times New Roman" w:eastAsia="Times New Roman" w:hAnsi="Times New Roman" w:cs="Times New Roman"/>
          <w:b/>
          <w:bCs/>
          <w:sz w:val="24"/>
          <w:szCs w:val="24"/>
          <w:bdr w:val="nil"/>
          <w:lang w:val="sv-SE"/>
        </w:rPr>
        <w:lastRenderedPageBreak/>
        <w:tab/>
      </w:r>
      <w:r>
        <w:rPr>
          <w:rFonts w:ascii="Times New Roman" w:eastAsia="Times New Roman" w:hAnsi="Times New Roman" w:cs="Times New Roman"/>
          <w:b/>
          <w:bCs/>
          <w:sz w:val="24"/>
          <w:szCs w:val="24"/>
          <w:bdr w:val="nil"/>
          <w:lang w:val="sv-SE"/>
        </w:rPr>
        <w:tab/>
      </w:r>
      <w:r>
        <w:rPr>
          <w:rFonts w:ascii="Times New Roman" w:eastAsia="Times New Roman" w:hAnsi="Times New Roman" w:cs="Times New Roman"/>
          <w:b/>
          <w:bCs/>
          <w:sz w:val="24"/>
          <w:szCs w:val="24"/>
          <w:bdr w:val="nil"/>
          <w:lang w:val="sv-SE"/>
        </w:rPr>
        <w:tab/>
      </w:r>
      <w:r>
        <w:rPr>
          <w:rFonts w:ascii="Times New Roman" w:eastAsia="Times New Roman" w:hAnsi="Times New Roman" w:cs="Times New Roman"/>
          <w:b/>
          <w:bCs/>
          <w:sz w:val="24"/>
          <w:szCs w:val="24"/>
          <w:bdr w:val="nil"/>
          <w:lang w:val="sv-SE"/>
        </w:rPr>
        <w:tab/>
      </w:r>
      <w:r>
        <w:rPr>
          <w:rFonts w:ascii="Times New Roman" w:eastAsia="Times New Roman" w:hAnsi="Times New Roman" w:cs="Times New Roman"/>
          <w:b/>
          <w:bCs/>
          <w:sz w:val="24"/>
          <w:szCs w:val="24"/>
          <w:bdr w:val="nil"/>
          <w:lang w:val="sv-SE"/>
        </w:rPr>
        <w:tab/>
      </w:r>
      <w:r>
        <w:rPr>
          <w:rFonts w:ascii="Times New Roman" w:eastAsia="Times New Roman" w:hAnsi="Times New Roman" w:cs="Times New Roman"/>
          <w:i/>
          <w:iCs/>
          <w:sz w:val="24"/>
          <w:szCs w:val="24"/>
          <w:bdr w:val="nil"/>
          <w:lang w:val="sv-SE"/>
        </w:rPr>
        <w:t>Parallelltext</w:t>
      </w:r>
    </w:p>
    <w:p w:rsidR="00485FA5" w:rsidRPr="00A13D17" w:rsidRDefault="003502AA" w:rsidP="00E94677">
      <w:pPr>
        <w:jc w:val="center"/>
        <w:rPr>
          <w:rFonts w:ascii="Times New Roman" w:hAnsi="Times New Roman" w:cs="Times New Roman"/>
          <w:b/>
          <w:sz w:val="24"/>
          <w:szCs w:val="24"/>
          <w:lang w:val="sv-SE"/>
        </w:rPr>
      </w:pPr>
    </w:p>
    <w:p w:rsidR="00835263" w:rsidRDefault="00674637" w:rsidP="00E94677">
      <w:pPr>
        <w:jc w:val="center"/>
        <w:rPr>
          <w:rFonts w:ascii="Times New Roman" w:eastAsia="Times New Roman" w:hAnsi="Times New Roman" w:cs="Times New Roman"/>
          <w:b/>
          <w:bCs/>
          <w:sz w:val="24"/>
          <w:szCs w:val="24"/>
          <w:bdr w:val="nil"/>
          <w:lang w:val="sv-SE"/>
        </w:rPr>
      </w:pPr>
      <w:r>
        <w:rPr>
          <w:rFonts w:ascii="Times New Roman" w:eastAsia="Times New Roman" w:hAnsi="Times New Roman" w:cs="Times New Roman"/>
          <w:b/>
          <w:bCs/>
          <w:sz w:val="24"/>
          <w:szCs w:val="24"/>
          <w:bdr w:val="nil"/>
          <w:lang w:val="sv-SE"/>
        </w:rPr>
        <w:t xml:space="preserve">Kyrkomötets beslut </w:t>
      </w:r>
    </w:p>
    <w:p w:rsidR="00E94677" w:rsidRDefault="00674637" w:rsidP="00E94677">
      <w:pPr>
        <w:jc w:val="center"/>
        <w:rPr>
          <w:rFonts w:ascii="Times New Roman" w:eastAsia="Times New Roman" w:hAnsi="Times New Roman" w:cs="Times New Roman"/>
          <w:b/>
          <w:bCs/>
          <w:sz w:val="24"/>
          <w:szCs w:val="24"/>
          <w:bdr w:val="nil"/>
          <w:lang w:val="sv-SE"/>
        </w:rPr>
      </w:pPr>
      <w:r>
        <w:rPr>
          <w:rFonts w:ascii="Times New Roman" w:eastAsia="Times New Roman" w:hAnsi="Times New Roman" w:cs="Times New Roman"/>
          <w:b/>
          <w:bCs/>
          <w:sz w:val="24"/>
          <w:szCs w:val="24"/>
          <w:bdr w:val="nil"/>
          <w:lang w:val="sv-SE"/>
        </w:rPr>
        <w:t>om ändring av 2 kap. 6 § i kyrkoordningen</w:t>
      </w:r>
    </w:p>
    <w:p w:rsidR="00835263" w:rsidRPr="00A13D17" w:rsidRDefault="00835263" w:rsidP="00E94677">
      <w:pPr>
        <w:jc w:val="center"/>
        <w:rPr>
          <w:rFonts w:ascii="Times New Roman" w:hAnsi="Times New Roman" w:cs="Times New Roman"/>
          <w:b/>
          <w:sz w:val="24"/>
          <w:szCs w:val="24"/>
          <w:lang w:val="sv-SE"/>
        </w:rPr>
      </w:pPr>
    </w:p>
    <w:p w:rsidR="00485FA5" w:rsidRPr="00A13D17" w:rsidRDefault="00674637" w:rsidP="00835263">
      <w:pPr>
        <w:spacing w:after="0"/>
        <w:ind w:left="284"/>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I enlighet med kyrkomötets beslut</w:t>
      </w:r>
    </w:p>
    <w:p w:rsidR="00485FA5" w:rsidRPr="00A13D17" w:rsidRDefault="00674637" w:rsidP="00835263">
      <w:pPr>
        <w:spacing w:after="0"/>
        <w:ind w:firstLine="284"/>
        <w:rPr>
          <w:rFonts w:ascii="Times New Roman" w:hAnsi="Times New Roman" w:cs="Times New Roman"/>
          <w:sz w:val="24"/>
          <w:szCs w:val="24"/>
          <w:lang w:val="sv-SE"/>
        </w:rPr>
      </w:pPr>
      <w:r>
        <w:rPr>
          <w:rFonts w:ascii="Times New Roman" w:eastAsia="Times New Roman" w:hAnsi="Times New Roman" w:cs="Times New Roman"/>
          <w:i/>
          <w:iCs/>
          <w:sz w:val="24"/>
          <w:szCs w:val="24"/>
          <w:bdr w:val="nil"/>
          <w:lang w:val="sv-SE"/>
        </w:rPr>
        <w:t xml:space="preserve">ändras </w:t>
      </w:r>
      <w:r>
        <w:rPr>
          <w:rFonts w:ascii="Times New Roman" w:eastAsia="Times New Roman" w:hAnsi="Times New Roman" w:cs="Times New Roman"/>
          <w:sz w:val="24"/>
          <w:szCs w:val="24"/>
          <w:bdr w:val="nil"/>
          <w:lang w:val="sv-SE"/>
        </w:rPr>
        <w:t>2 kap. 6 § 3 mom. i kyrkoordningen (1055/1993), sådant det lyder i kyrkomötets beslut 1234/1999, som följer:</w:t>
      </w:r>
    </w:p>
    <w:p w:rsidR="00E94677" w:rsidRPr="00A13D17" w:rsidRDefault="003502AA" w:rsidP="00E94677">
      <w:pPr>
        <w:rPr>
          <w:rFonts w:ascii="Times New Roman" w:hAnsi="Times New Roman" w:cs="Times New Roman"/>
          <w:b/>
          <w:sz w:val="24"/>
          <w:szCs w:val="24"/>
          <w:lang w:val="sv-SE"/>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38100A" w:rsidRPr="003502AA" w:rsidTr="00A90330">
        <w:tc>
          <w:tcPr>
            <w:tcW w:w="4981" w:type="dxa"/>
          </w:tcPr>
          <w:p w:rsidR="00E94677" w:rsidRPr="00A13D17" w:rsidRDefault="00674637" w:rsidP="00A90330">
            <w:pPr>
              <w:rPr>
                <w:rFonts w:ascii="Times New Roman" w:hAnsi="Times New Roman" w:cs="Times New Roman"/>
                <w:sz w:val="24"/>
                <w:szCs w:val="24"/>
                <w:lang w:val="sv-SE"/>
              </w:rPr>
            </w:pPr>
            <w:r>
              <w:rPr>
                <w:rFonts w:ascii="Times New Roman" w:eastAsia="Times New Roman" w:hAnsi="Times New Roman" w:cs="Times New Roman"/>
                <w:i/>
                <w:iCs/>
                <w:sz w:val="24"/>
                <w:szCs w:val="24"/>
                <w:bdr w:val="nil"/>
                <w:lang w:val="sv-SE"/>
              </w:rPr>
              <w:t>Gällande kyrkoordning</w:t>
            </w:r>
          </w:p>
          <w:p w:rsidR="00E94677" w:rsidRPr="00A13D17" w:rsidRDefault="00674637" w:rsidP="00A90330">
            <w:pPr>
              <w:rPr>
                <w:rFonts w:ascii="Times New Roman" w:hAnsi="Times New Roman" w:cs="Times New Roman"/>
                <w:sz w:val="24"/>
                <w:szCs w:val="24"/>
                <w:lang w:val="sv-SE"/>
              </w:rPr>
            </w:pPr>
            <w:r w:rsidRPr="00A13D17">
              <w:rPr>
                <w:rFonts w:ascii="Times New Roman" w:hAnsi="Times New Roman" w:cs="Times New Roman"/>
                <w:sz w:val="24"/>
                <w:szCs w:val="24"/>
                <w:lang w:val="sv-SE"/>
              </w:rPr>
              <w:t xml:space="preserve">                               </w:t>
            </w:r>
          </w:p>
          <w:p w:rsidR="00E94677" w:rsidRPr="00A13D17" w:rsidRDefault="00674637" w:rsidP="00A90330">
            <w:pPr>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 xml:space="preserve">                                2 kap.</w:t>
            </w:r>
          </w:p>
          <w:p w:rsidR="00E94677" w:rsidRPr="00A13D17" w:rsidRDefault="003502AA" w:rsidP="00A90330">
            <w:pPr>
              <w:rPr>
                <w:rFonts w:ascii="Times New Roman" w:hAnsi="Times New Roman" w:cs="Times New Roman"/>
                <w:sz w:val="24"/>
                <w:szCs w:val="24"/>
                <w:lang w:val="sv-SE"/>
              </w:rPr>
            </w:pPr>
          </w:p>
          <w:p w:rsidR="00E94677" w:rsidRPr="00A13D17" w:rsidRDefault="00674637" w:rsidP="00A90330">
            <w:pPr>
              <w:rPr>
                <w:rFonts w:ascii="Times New Roman" w:hAnsi="Times New Roman" w:cs="Times New Roman"/>
                <w:b/>
                <w:sz w:val="24"/>
                <w:szCs w:val="24"/>
                <w:lang w:val="sv-SE"/>
              </w:rPr>
            </w:pPr>
            <w:r>
              <w:rPr>
                <w:rFonts w:ascii="Times New Roman" w:eastAsia="Times New Roman" w:hAnsi="Times New Roman" w:cs="Times New Roman"/>
                <w:sz w:val="24"/>
                <w:szCs w:val="24"/>
                <w:bdr w:val="nil"/>
                <w:lang w:val="sv-SE"/>
              </w:rPr>
              <w:t xml:space="preserve">                  </w:t>
            </w:r>
            <w:r>
              <w:rPr>
                <w:rFonts w:ascii="Times New Roman" w:eastAsia="Times New Roman" w:hAnsi="Times New Roman" w:cs="Times New Roman"/>
                <w:b/>
                <w:bCs/>
                <w:sz w:val="24"/>
                <w:szCs w:val="24"/>
                <w:bdr w:val="nil"/>
                <w:lang w:val="sv-SE"/>
              </w:rPr>
              <w:t>Kyrkans heliga handlingar</w:t>
            </w:r>
          </w:p>
          <w:p w:rsidR="00485FA5" w:rsidRPr="00A13D17" w:rsidRDefault="003502AA" w:rsidP="00A90330">
            <w:pPr>
              <w:rPr>
                <w:rFonts w:ascii="Times New Roman" w:hAnsi="Times New Roman" w:cs="Times New Roman"/>
                <w:sz w:val="24"/>
                <w:szCs w:val="24"/>
                <w:lang w:val="sv-SE"/>
              </w:rPr>
            </w:pPr>
          </w:p>
        </w:tc>
        <w:tc>
          <w:tcPr>
            <w:tcW w:w="4981" w:type="dxa"/>
          </w:tcPr>
          <w:p w:rsidR="00E94677" w:rsidRPr="00A13D17" w:rsidRDefault="00674637" w:rsidP="00A90330">
            <w:pPr>
              <w:rPr>
                <w:rFonts w:ascii="Times New Roman" w:hAnsi="Times New Roman" w:cs="Times New Roman"/>
                <w:sz w:val="24"/>
                <w:szCs w:val="24"/>
                <w:lang w:val="sv-SE"/>
              </w:rPr>
            </w:pPr>
            <w:r>
              <w:rPr>
                <w:rFonts w:ascii="Times New Roman" w:eastAsia="Times New Roman" w:hAnsi="Times New Roman" w:cs="Times New Roman"/>
                <w:i/>
                <w:iCs/>
                <w:sz w:val="24"/>
                <w:szCs w:val="24"/>
                <w:bdr w:val="nil"/>
                <w:lang w:val="sv-SE"/>
              </w:rPr>
              <w:t>Förslag</w:t>
            </w:r>
          </w:p>
          <w:p w:rsidR="00E94677" w:rsidRPr="00A13D17" w:rsidRDefault="003502AA" w:rsidP="00A90330">
            <w:pPr>
              <w:rPr>
                <w:rFonts w:ascii="Times New Roman" w:hAnsi="Times New Roman" w:cs="Times New Roman"/>
                <w:sz w:val="24"/>
                <w:szCs w:val="24"/>
                <w:lang w:val="sv-SE"/>
              </w:rPr>
            </w:pPr>
          </w:p>
          <w:p w:rsidR="00E94677" w:rsidRPr="00A13D17" w:rsidRDefault="00674637" w:rsidP="00A90330">
            <w:pPr>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 xml:space="preserve">                              2 kap.</w:t>
            </w:r>
          </w:p>
          <w:p w:rsidR="00E94677" w:rsidRPr="00A13D17" w:rsidRDefault="003502AA" w:rsidP="00A90330">
            <w:pPr>
              <w:rPr>
                <w:rFonts w:ascii="Times New Roman" w:hAnsi="Times New Roman" w:cs="Times New Roman"/>
                <w:sz w:val="24"/>
                <w:szCs w:val="24"/>
                <w:lang w:val="sv-SE"/>
              </w:rPr>
            </w:pPr>
          </w:p>
          <w:p w:rsidR="00E94677" w:rsidRPr="00A13D17" w:rsidRDefault="00674637" w:rsidP="00A90330">
            <w:pPr>
              <w:tabs>
                <w:tab w:val="left" w:pos="1603"/>
              </w:tabs>
              <w:rPr>
                <w:rFonts w:ascii="Times New Roman" w:hAnsi="Times New Roman" w:cs="Times New Roman"/>
                <w:b/>
                <w:sz w:val="24"/>
                <w:szCs w:val="24"/>
                <w:lang w:val="sv-SE"/>
              </w:rPr>
            </w:pPr>
            <w:r>
              <w:rPr>
                <w:rFonts w:ascii="Times New Roman" w:eastAsia="Times New Roman" w:hAnsi="Times New Roman" w:cs="Times New Roman"/>
                <w:sz w:val="24"/>
                <w:szCs w:val="24"/>
                <w:bdr w:val="nil"/>
                <w:lang w:val="sv-SE"/>
              </w:rPr>
              <w:t xml:space="preserve">                  </w:t>
            </w:r>
            <w:r>
              <w:rPr>
                <w:rFonts w:ascii="Times New Roman" w:eastAsia="Times New Roman" w:hAnsi="Times New Roman" w:cs="Times New Roman"/>
                <w:b/>
                <w:bCs/>
                <w:sz w:val="24"/>
                <w:szCs w:val="24"/>
                <w:bdr w:val="nil"/>
                <w:lang w:val="sv-SE"/>
              </w:rPr>
              <w:t>Kyrkans heliga handlingar</w:t>
            </w:r>
          </w:p>
        </w:tc>
      </w:tr>
      <w:tr w:rsidR="0038100A" w:rsidRPr="003502AA" w:rsidTr="00A90330">
        <w:tc>
          <w:tcPr>
            <w:tcW w:w="4981" w:type="dxa"/>
          </w:tcPr>
          <w:p w:rsidR="00485FA5" w:rsidRPr="00A13D17" w:rsidRDefault="00674637" w:rsidP="00835263">
            <w:pPr>
              <w:ind w:left="34"/>
              <w:rPr>
                <w:rFonts w:ascii="Times New Roman" w:hAnsi="Times New Roman" w:cs="Times New Roman"/>
                <w:sz w:val="24"/>
                <w:szCs w:val="24"/>
                <w:lang w:val="sv-SE"/>
              </w:rPr>
            </w:pPr>
            <w:r w:rsidRPr="00A13D17">
              <w:rPr>
                <w:rFonts w:ascii="Times New Roman" w:hAnsi="Times New Roman" w:cs="Times New Roman"/>
                <w:sz w:val="24"/>
                <w:szCs w:val="24"/>
                <w:lang w:val="sv-SE"/>
              </w:rPr>
              <w:t>― ― ― ― ― ― ― ― ― ― ― ― ―</w:t>
            </w:r>
          </w:p>
          <w:p w:rsidR="00E94677" w:rsidRPr="00A13D17" w:rsidRDefault="00674637" w:rsidP="00835263">
            <w:pPr>
              <w:ind w:left="34" w:firstLine="284"/>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I enskilda fall kan kyrkoherden kalla en sådan medlem av evangelisk-lutherska kyrkan som är konfirmerad och känd för sin kristna övertygelse att predika vid gudstjänsten.</w:t>
            </w:r>
          </w:p>
        </w:tc>
        <w:tc>
          <w:tcPr>
            <w:tcW w:w="4981" w:type="dxa"/>
          </w:tcPr>
          <w:p w:rsidR="00485FA5" w:rsidRPr="00A13D17" w:rsidRDefault="00674637" w:rsidP="00A90330">
            <w:pPr>
              <w:rPr>
                <w:rFonts w:ascii="Times New Roman" w:hAnsi="Times New Roman" w:cs="Times New Roman"/>
                <w:sz w:val="24"/>
                <w:szCs w:val="24"/>
                <w:lang w:val="sv-SE"/>
              </w:rPr>
            </w:pPr>
            <w:r w:rsidRPr="00A13D17">
              <w:rPr>
                <w:rFonts w:ascii="Times New Roman" w:hAnsi="Times New Roman" w:cs="Times New Roman"/>
                <w:sz w:val="24"/>
                <w:szCs w:val="24"/>
                <w:lang w:val="sv-SE"/>
              </w:rPr>
              <w:t>― ― ― ― ― ― ― ― ― ― ― ― ―</w:t>
            </w:r>
          </w:p>
          <w:p w:rsidR="00E94677" w:rsidRPr="00A13D17" w:rsidRDefault="00674637" w:rsidP="00835263">
            <w:pPr>
              <w:ind w:firstLine="318"/>
              <w:rPr>
                <w:rFonts w:ascii="Times New Roman" w:hAnsi="Times New Roman" w:cs="Times New Roman"/>
                <w:sz w:val="24"/>
                <w:szCs w:val="24"/>
                <w:lang w:val="sv-SE"/>
              </w:rPr>
            </w:pPr>
            <w:r>
              <w:rPr>
                <w:rFonts w:ascii="Times New Roman" w:eastAsia="Times New Roman" w:hAnsi="Times New Roman" w:cs="Times New Roman"/>
                <w:sz w:val="24"/>
                <w:szCs w:val="24"/>
                <w:bdr w:val="nil"/>
                <w:lang w:val="sv-SE"/>
              </w:rPr>
              <w:t xml:space="preserve">I enskilda fall kan kyrkoherden kalla </w:t>
            </w:r>
            <w:r>
              <w:rPr>
                <w:rFonts w:ascii="Times New Roman" w:eastAsia="Times New Roman" w:hAnsi="Times New Roman" w:cs="Times New Roman"/>
                <w:i/>
                <w:iCs/>
                <w:sz w:val="24"/>
                <w:szCs w:val="24"/>
                <w:bdr w:val="nil"/>
                <w:lang w:val="sv-SE"/>
              </w:rPr>
              <w:t>en sådan medlem av kyrkan som är konfirmerad och känd för sin kristna övertygelse eller en präst från någon annan kristen kyrka eller ett därmed jämställt samfund</w:t>
            </w:r>
            <w:r>
              <w:rPr>
                <w:rFonts w:ascii="Times New Roman" w:eastAsia="Times New Roman" w:hAnsi="Times New Roman" w:cs="Times New Roman"/>
                <w:sz w:val="24"/>
                <w:szCs w:val="24"/>
                <w:bdr w:val="nil"/>
                <w:lang w:val="sv-SE"/>
              </w:rPr>
              <w:t xml:space="preserve"> att predika vid gudstjänsten.</w:t>
            </w:r>
          </w:p>
        </w:tc>
      </w:tr>
    </w:tbl>
    <w:p w:rsidR="00E94677" w:rsidRPr="00A13D17" w:rsidRDefault="003502AA" w:rsidP="00E94677">
      <w:pPr>
        <w:rPr>
          <w:lang w:val="sv-SE"/>
        </w:rPr>
      </w:pPr>
    </w:p>
    <w:p w:rsidR="005C4BFA" w:rsidRPr="00A13D17" w:rsidRDefault="003502AA" w:rsidP="000D54BA">
      <w:pPr>
        <w:rPr>
          <w:rFonts w:ascii="Times New Roman" w:hAnsi="Times New Roman" w:cs="Times New Roman"/>
          <w:b/>
          <w:sz w:val="24"/>
          <w:szCs w:val="24"/>
          <w:lang w:val="sv-SE"/>
        </w:rPr>
      </w:pPr>
    </w:p>
    <w:sectPr w:rsidR="005C4BFA" w:rsidRPr="00A13D17" w:rsidSect="00F4732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8371D"/>
    <w:multiLevelType w:val="hybridMultilevel"/>
    <w:tmpl w:val="C778F85C"/>
    <w:lvl w:ilvl="0" w:tplc="02A023DC">
      <w:start w:val="2"/>
      <w:numFmt w:val="bullet"/>
      <w:lvlText w:val="-"/>
      <w:lvlJc w:val="left"/>
      <w:pPr>
        <w:ind w:left="720" w:hanging="360"/>
      </w:pPr>
      <w:rPr>
        <w:rFonts w:ascii="Calibri" w:eastAsiaTheme="minorHAnsi" w:hAnsi="Calibri" w:cstheme="minorBidi" w:hint="default"/>
      </w:rPr>
    </w:lvl>
    <w:lvl w:ilvl="1" w:tplc="1598AFCA" w:tentative="1">
      <w:start w:val="1"/>
      <w:numFmt w:val="bullet"/>
      <w:lvlText w:val="o"/>
      <w:lvlJc w:val="left"/>
      <w:pPr>
        <w:ind w:left="1440" w:hanging="360"/>
      </w:pPr>
      <w:rPr>
        <w:rFonts w:ascii="Courier New" w:hAnsi="Courier New" w:cs="Courier New" w:hint="default"/>
      </w:rPr>
    </w:lvl>
    <w:lvl w:ilvl="2" w:tplc="6E866C12" w:tentative="1">
      <w:start w:val="1"/>
      <w:numFmt w:val="bullet"/>
      <w:lvlText w:val=""/>
      <w:lvlJc w:val="left"/>
      <w:pPr>
        <w:ind w:left="2160" w:hanging="360"/>
      </w:pPr>
      <w:rPr>
        <w:rFonts w:ascii="Wingdings" w:hAnsi="Wingdings" w:hint="default"/>
      </w:rPr>
    </w:lvl>
    <w:lvl w:ilvl="3" w:tplc="87B228CC" w:tentative="1">
      <w:start w:val="1"/>
      <w:numFmt w:val="bullet"/>
      <w:lvlText w:val=""/>
      <w:lvlJc w:val="left"/>
      <w:pPr>
        <w:ind w:left="2880" w:hanging="360"/>
      </w:pPr>
      <w:rPr>
        <w:rFonts w:ascii="Symbol" w:hAnsi="Symbol" w:hint="default"/>
      </w:rPr>
    </w:lvl>
    <w:lvl w:ilvl="4" w:tplc="8154E418" w:tentative="1">
      <w:start w:val="1"/>
      <w:numFmt w:val="bullet"/>
      <w:lvlText w:val="o"/>
      <w:lvlJc w:val="left"/>
      <w:pPr>
        <w:ind w:left="3600" w:hanging="360"/>
      </w:pPr>
      <w:rPr>
        <w:rFonts w:ascii="Courier New" w:hAnsi="Courier New" w:cs="Courier New" w:hint="default"/>
      </w:rPr>
    </w:lvl>
    <w:lvl w:ilvl="5" w:tplc="ECD42A0A" w:tentative="1">
      <w:start w:val="1"/>
      <w:numFmt w:val="bullet"/>
      <w:lvlText w:val=""/>
      <w:lvlJc w:val="left"/>
      <w:pPr>
        <w:ind w:left="4320" w:hanging="360"/>
      </w:pPr>
      <w:rPr>
        <w:rFonts w:ascii="Wingdings" w:hAnsi="Wingdings" w:hint="default"/>
      </w:rPr>
    </w:lvl>
    <w:lvl w:ilvl="6" w:tplc="1848F102" w:tentative="1">
      <w:start w:val="1"/>
      <w:numFmt w:val="bullet"/>
      <w:lvlText w:val=""/>
      <w:lvlJc w:val="left"/>
      <w:pPr>
        <w:ind w:left="5040" w:hanging="360"/>
      </w:pPr>
      <w:rPr>
        <w:rFonts w:ascii="Symbol" w:hAnsi="Symbol" w:hint="default"/>
      </w:rPr>
    </w:lvl>
    <w:lvl w:ilvl="7" w:tplc="89C822E6" w:tentative="1">
      <w:start w:val="1"/>
      <w:numFmt w:val="bullet"/>
      <w:lvlText w:val="o"/>
      <w:lvlJc w:val="left"/>
      <w:pPr>
        <w:ind w:left="5760" w:hanging="360"/>
      </w:pPr>
      <w:rPr>
        <w:rFonts w:ascii="Courier New" w:hAnsi="Courier New" w:cs="Courier New" w:hint="default"/>
      </w:rPr>
    </w:lvl>
    <w:lvl w:ilvl="8" w:tplc="1C0C54B2" w:tentative="1">
      <w:start w:val="1"/>
      <w:numFmt w:val="bullet"/>
      <w:lvlText w:val=""/>
      <w:lvlJc w:val="left"/>
      <w:pPr>
        <w:ind w:left="6480" w:hanging="360"/>
      </w:pPr>
      <w:rPr>
        <w:rFonts w:ascii="Wingdings" w:hAnsi="Wingdings" w:hint="default"/>
      </w:rPr>
    </w:lvl>
  </w:abstractNum>
  <w:abstractNum w:abstractNumId="1" w15:restartNumberingAfterBreak="0">
    <w:nsid w:val="6B0867A8"/>
    <w:multiLevelType w:val="hybridMultilevel"/>
    <w:tmpl w:val="822C421E"/>
    <w:lvl w:ilvl="0" w:tplc="6A62C8F0">
      <w:start w:val="2"/>
      <w:numFmt w:val="bullet"/>
      <w:lvlText w:val="-"/>
      <w:lvlJc w:val="left"/>
      <w:pPr>
        <w:ind w:left="720" w:hanging="360"/>
      </w:pPr>
      <w:rPr>
        <w:rFonts w:ascii="Calibri" w:eastAsiaTheme="minorHAnsi" w:hAnsi="Calibri" w:cstheme="minorBidi" w:hint="default"/>
      </w:rPr>
    </w:lvl>
    <w:lvl w:ilvl="1" w:tplc="3B5814B2" w:tentative="1">
      <w:start w:val="1"/>
      <w:numFmt w:val="bullet"/>
      <w:lvlText w:val="o"/>
      <w:lvlJc w:val="left"/>
      <w:pPr>
        <w:ind w:left="1440" w:hanging="360"/>
      </w:pPr>
      <w:rPr>
        <w:rFonts w:ascii="Courier New" w:hAnsi="Courier New" w:cs="Courier New" w:hint="default"/>
      </w:rPr>
    </w:lvl>
    <w:lvl w:ilvl="2" w:tplc="43E6274E" w:tentative="1">
      <w:start w:val="1"/>
      <w:numFmt w:val="bullet"/>
      <w:lvlText w:val=""/>
      <w:lvlJc w:val="left"/>
      <w:pPr>
        <w:ind w:left="2160" w:hanging="360"/>
      </w:pPr>
      <w:rPr>
        <w:rFonts w:ascii="Wingdings" w:hAnsi="Wingdings" w:hint="default"/>
      </w:rPr>
    </w:lvl>
    <w:lvl w:ilvl="3" w:tplc="22764D98" w:tentative="1">
      <w:start w:val="1"/>
      <w:numFmt w:val="bullet"/>
      <w:lvlText w:val=""/>
      <w:lvlJc w:val="left"/>
      <w:pPr>
        <w:ind w:left="2880" w:hanging="360"/>
      </w:pPr>
      <w:rPr>
        <w:rFonts w:ascii="Symbol" w:hAnsi="Symbol" w:hint="default"/>
      </w:rPr>
    </w:lvl>
    <w:lvl w:ilvl="4" w:tplc="2D2C65A8" w:tentative="1">
      <w:start w:val="1"/>
      <w:numFmt w:val="bullet"/>
      <w:lvlText w:val="o"/>
      <w:lvlJc w:val="left"/>
      <w:pPr>
        <w:ind w:left="3600" w:hanging="360"/>
      </w:pPr>
      <w:rPr>
        <w:rFonts w:ascii="Courier New" w:hAnsi="Courier New" w:cs="Courier New" w:hint="default"/>
      </w:rPr>
    </w:lvl>
    <w:lvl w:ilvl="5" w:tplc="69D68E7A" w:tentative="1">
      <w:start w:val="1"/>
      <w:numFmt w:val="bullet"/>
      <w:lvlText w:val=""/>
      <w:lvlJc w:val="left"/>
      <w:pPr>
        <w:ind w:left="4320" w:hanging="360"/>
      </w:pPr>
      <w:rPr>
        <w:rFonts w:ascii="Wingdings" w:hAnsi="Wingdings" w:hint="default"/>
      </w:rPr>
    </w:lvl>
    <w:lvl w:ilvl="6" w:tplc="3F94A564" w:tentative="1">
      <w:start w:val="1"/>
      <w:numFmt w:val="bullet"/>
      <w:lvlText w:val=""/>
      <w:lvlJc w:val="left"/>
      <w:pPr>
        <w:ind w:left="5040" w:hanging="360"/>
      </w:pPr>
      <w:rPr>
        <w:rFonts w:ascii="Symbol" w:hAnsi="Symbol" w:hint="default"/>
      </w:rPr>
    </w:lvl>
    <w:lvl w:ilvl="7" w:tplc="5A26FEBE" w:tentative="1">
      <w:start w:val="1"/>
      <w:numFmt w:val="bullet"/>
      <w:lvlText w:val="o"/>
      <w:lvlJc w:val="left"/>
      <w:pPr>
        <w:ind w:left="5760" w:hanging="360"/>
      </w:pPr>
      <w:rPr>
        <w:rFonts w:ascii="Courier New" w:hAnsi="Courier New" w:cs="Courier New" w:hint="default"/>
      </w:rPr>
    </w:lvl>
    <w:lvl w:ilvl="8" w:tplc="82E8A79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00A"/>
    <w:rsid w:val="00043EB2"/>
    <w:rsid w:val="0011260F"/>
    <w:rsid w:val="003502AA"/>
    <w:rsid w:val="0038100A"/>
    <w:rsid w:val="00674637"/>
    <w:rsid w:val="00831C1F"/>
    <w:rsid w:val="00835263"/>
    <w:rsid w:val="00846089"/>
    <w:rsid w:val="00A13D17"/>
    <w:rsid w:val="00B53E2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528B7E-5B24-4FB6-BFA6-5750B2DE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D54BA"/>
    <w:rPr>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D54BA"/>
    <w:pPr>
      <w:ind w:left="720"/>
      <w:contextualSpacing/>
    </w:pPr>
  </w:style>
  <w:style w:type="character" w:styleId="Hyperlinkki">
    <w:name w:val="Hyperlink"/>
    <w:basedOn w:val="Kappaleenoletusfontti"/>
    <w:uiPriority w:val="99"/>
    <w:unhideWhenUsed/>
    <w:rsid w:val="000D54BA"/>
    <w:rPr>
      <w:color w:val="0563C1" w:themeColor="hyperlink"/>
      <w:u w:val="single"/>
    </w:rPr>
  </w:style>
  <w:style w:type="table" w:styleId="TaulukkoRuudukko">
    <w:name w:val="Table Grid"/>
    <w:basedOn w:val="Normaalitaulukko"/>
    <w:uiPriority w:val="39"/>
    <w:rsid w:val="000D54B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291C0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291C0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kasti.evl.fi/piispainkokous"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1989</Words>
  <Characters>16117</Characters>
  <Application>Microsoft Office Word</Application>
  <DocSecurity>0</DocSecurity>
  <Lines>134</Lines>
  <Paragraphs>36</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Kirkkohallitus</Company>
  <LinksUpToDate>false</LinksUpToDate>
  <CharactersWithSpaces>18070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Nyman Aili</dc:creator>
  <cp:lastModifiedBy>Aarnio-Jääskeläinen Liisa</cp:lastModifiedBy>
  <cp:revision>3</cp:revision>
  <cp:lastPrinted>2016-10-06T07:06:00Z</cp:lastPrinted>
  <dcterms:created xsi:type="dcterms:W3CDTF">2016-10-18T14:06:00Z</dcterms:created>
  <dcterms:modified xsi:type="dcterms:W3CDTF">2016-10-19T08:05:00Z</dcterms:modified>
</cp:coreProperties>
</file>